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9CA52" w14:textId="77777777" w:rsidR="004A759B" w:rsidRPr="00927EEE" w:rsidRDefault="004A759B" w:rsidP="004A759B">
      <w:pPr>
        <w:jc w:val="center"/>
        <w:rPr>
          <w:rFonts w:ascii="Verdana" w:hAnsi="Verdana" w:cs="Arial"/>
          <w:b/>
          <w:sz w:val="24"/>
        </w:rPr>
      </w:pPr>
      <w:r w:rsidRPr="00927EEE">
        <w:rPr>
          <w:rFonts w:ascii="Verdana" w:hAnsi="Verdana" w:cs="Arial"/>
          <w:b/>
          <w:noProof/>
          <w:sz w:val="24"/>
          <w:lang w:eastAsia="fr-FR"/>
        </w:rPr>
        <mc:AlternateContent>
          <mc:Choice Requires="wps">
            <w:drawing>
              <wp:anchor distT="0" distB="0" distL="114300" distR="114300" simplePos="0" relativeHeight="251659264" behindDoc="0" locked="0" layoutInCell="1" allowOverlap="1" wp14:anchorId="0BC5E130" wp14:editId="36C3F708">
                <wp:simplePos x="0" y="0"/>
                <wp:positionH relativeFrom="column">
                  <wp:posOffset>332105</wp:posOffset>
                </wp:positionH>
                <wp:positionV relativeFrom="paragraph">
                  <wp:posOffset>-175895</wp:posOffset>
                </wp:positionV>
                <wp:extent cx="5295900" cy="10795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5295900" cy="1079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F63E8" id="Rectangle 1" o:spid="_x0000_s1026" style="position:absolute;margin-left:26.15pt;margin-top:-13.85pt;width:417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" filled="f" strokecolor="black [3213]" strokeweight="1pt"/>
            </w:pict>
          </mc:Fallback>
        </mc:AlternateContent>
      </w:r>
      <w:r w:rsidRPr="00927EEE">
        <w:rPr>
          <w:rFonts w:ascii="Verdana" w:hAnsi="Verdana" w:cs="Arial"/>
          <w:b/>
          <w:sz w:val="24"/>
        </w:rPr>
        <w:t>NEBEF 3.3 – Expérimentation de la sous-mesure</w:t>
      </w:r>
    </w:p>
    <w:p w14:paraId="31598C4D" w14:textId="140A9A79" w:rsidR="00E764E1" w:rsidRDefault="00D57FD2" w:rsidP="004A759B">
      <w:pPr>
        <w:jc w:val="center"/>
        <w:rPr>
          <w:rFonts w:ascii="Verdana" w:hAnsi="Verdana" w:cs="Arial"/>
          <w:b/>
          <w:sz w:val="24"/>
        </w:rPr>
      </w:pPr>
      <w:r w:rsidRPr="00927EEE">
        <w:rPr>
          <w:rFonts w:ascii="Verdana" w:hAnsi="Verdana" w:cs="Arial"/>
          <w:b/>
          <w:sz w:val="24"/>
        </w:rPr>
        <w:t>D</w:t>
      </w:r>
      <w:r w:rsidR="004A759B" w:rsidRPr="00927EEE">
        <w:rPr>
          <w:rFonts w:ascii="Verdana" w:hAnsi="Verdana" w:cs="Arial"/>
          <w:b/>
          <w:sz w:val="24"/>
        </w:rPr>
        <w:t xml:space="preserve">ossier </w:t>
      </w:r>
      <w:r w:rsidR="00E764E1">
        <w:rPr>
          <w:rFonts w:ascii="Verdana" w:hAnsi="Verdana" w:cs="Arial"/>
          <w:b/>
          <w:sz w:val="24"/>
        </w:rPr>
        <w:t xml:space="preserve">de qualification du Site de Soutirage </w:t>
      </w:r>
      <w:r w:rsidR="00927EEE">
        <w:rPr>
          <w:rFonts w:ascii="Verdana" w:hAnsi="Verdana" w:cs="Arial"/>
          <w:b/>
          <w:sz w:val="24"/>
        </w:rPr>
        <w:t>télére</w:t>
      </w:r>
      <w:r w:rsidR="00E764E1">
        <w:rPr>
          <w:rFonts w:ascii="Verdana" w:hAnsi="Verdana" w:cs="Arial"/>
          <w:b/>
          <w:sz w:val="24"/>
        </w:rPr>
        <w:t>levé</w:t>
      </w:r>
    </w:p>
    <w:p w14:paraId="2C7376F2" w14:textId="489E33E8" w:rsidR="004C108C" w:rsidRPr="00E764E1" w:rsidRDefault="00881524" w:rsidP="004A759B">
      <w:pPr>
        <w:jc w:val="center"/>
        <w:rPr>
          <w:rFonts w:ascii="Verdana" w:hAnsi="Verdana" w:cs="Arial"/>
          <w:i/>
          <w:sz w:val="20"/>
        </w:rPr>
      </w:pPr>
      <w:r>
        <w:rPr>
          <w:rFonts w:ascii="Verdana" w:hAnsi="Verdana" w:cs="Arial"/>
          <w:i/>
          <w:sz w:val="20"/>
        </w:rPr>
        <w:t>A joindre</w:t>
      </w:r>
      <w:r w:rsidR="00E764E1" w:rsidRPr="00E764E1">
        <w:rPr>
          <w:rFonts w:ascii="Verdana" w:hAnsi="Verdana" w:cs="Arial"/>
          <w:i/>
          <w:sz w:val="20"/>
        </w:rPr>
        <w:t xml:space="preserve"> à l’Annexe 13 des règles NEBEF</w:t>
      </w:r>
    </w:p>
    <w:p w14:paraId="64A6DC82" w14:textId="77777777" w:rsidR="004A759B" w:rsidRPr="00927EEE" w:rsidRDefault="004A759B" w:rsidP="00E764E1">
      <w:pPr>
        <w:rPr>
          <w:rFonts w:ascii="Verdana" w:hAnsi="Verdana" w:cs="Arial"/>
          <w:b/>
          <w:sz w:val="24"/>
        </w:rPr>
      </w:pPr>
    </w:p>
    <w:p w14:paraId="1E1A3801" w14:textId="54C49164" w:rsidR="004A759B" w:rsidRPr="00927EEE" w:rsidRDefault="004A759B" w:rsidP="004A759B">
      <w:pPr>
        <w:rPr>
          <w:rFonts w:ascii="Verdana" w:hAnsi="Verdana" w:cs="Arial"/>
          <w:i/>
          <w:sz w:val="24"/>
        </w:rPr>
      </w:pPr>
    </w:p>
    <w:p w14:paraId="2093AD65" w14:textId="77777777" w:rsidR="004A759B" w:rsidRPr="00927EEE" w:rsidRDefault="004A759B" w:rsidP="009157AE">
      <w:pPr>
        <w:jc w:val="both"/>
        <w:rPr>
          <w:rFonts w:ascii="Verdana" w:hAnsi="Verdana" w:cs="Arial"/>
          <w:color w:val="4472C4" w:themeColor="accent5"/>
          <w:sz w:val="20"/>
        </w:rPr>
      </w:pPr>
      <w:r w:rsidRPr="00927EEE">
        <w:rPr>
          <w:rFonts w:ascii="Verdana" w:hAnsi="Verdana" w:cs="Arial"/>
          <w:color w:val="4472C4" w:themeColor="accent5"/>
          <w:sz w:val="20"/>
          <w:u w:val="single"/>
        </w:rPr>
        <w:t>Objet du document</w:t>
      </w:r>
      <w:r w:rsidRPr="00927EEE">
        <w:rPr>
          <w:rFonts w:ascii="Verdana" w:hAnsi="Verdana" w:cs="Arial"/>
          <w:color w:val="4472C4" w:themeColor="accent5"/>
          <w:sz w:val="20"/>
        </w:rPr>
        <w:t xml:space="preserve"> : </w:t>
      </w:r>
    </w:p>
    <w:p w14:paraId="5DEA6DCC" w14:textId="3F368C6B" w:rsidR="00927EEE" w:rsidRDefault="00927EEE" w:rsidP="009157AE">
      <w:pPr>
        <w:jc w:val="both"/>
        <w:rPr>
          <w:rFonts w:ascii="Verdana" w:hAnsi="Verdana" w:cs="Arial"/>
          <w:sz w:val="20"/>
        </w:rPr>
      </w:pPr>
      <w:r>
        <w:rPr>
          <w:rFonts w:ascii="Verdana" w:hAnsi="Verdana" w:cs="Arial"/>
          <w:sz w:val="20"/>
        </w:rPr>
        <w:t>En application de l’art 9.2 des règles NEBEF, tout Site de Soutirage Télérelevé participant à l’expérimentation sur la sous-mesure pour le contrôle des effacements réalisés dont les modalités sont décrites à l’</w:t>
      </w:r>
      <w:r w:rsidR="00E764E1">
        <w:rPr>
          <w:rFonts w:ascii="Verdana" w:hAnsi="Verdana" w:cs="Arial"/>
          <w:sz w:val="20"/>
        </w:rPr>
        <w:t>art</w:t>
      </w:r>
      <w:r>
        <w:rPr>
          <w:rFonts w:ascii="Verdana" w:hAnsi="Verdana" w:cs="Arial"/>
          <w:sz w:val="20"/>
        </w:rPr>
        <w:t xml:space="preserve"> 2.3.5 des règles NEBEF </w:t>
      </w:r>
      <w:r w:rsidR="00E764E1">
        <w:rPr>
          <w:rFonts w:ascii="Verdana" w:hAnsi="Verdana" w:cs="Arial"/>
          <w:sz w:val="20"/>
        </w:rPr>
        <w:t>doit être détenteur de la qualité de Site de Soutirage Qualifié pour la sous-mesure</w:t>
      </w:r>
      <w:r>
        <w:rPr>
          <w:rFonts w:ascii="Verdana" w:hAnsi="Verdana" w:cs="Arial"/>
          <w:sz w:val="20"/>
        </w:rPr>
        <w:t xml:space="preserve">. </w:t>
      </w:r>
    </w:p>
    <w:p w14:paraId="52186674" w14:textId="7EA5328D" w:rsidR="00927EEE" w:rsidRDefault="00E764E1" w:rsidP="009157AE">
      <w:pPr>
        <w:jc w:val="both"/>
        <w:rPr>
          <w:rFonts w:ascii="Verdana" w:hAnsi="Verdana" w:cs="Arial"/>
          <w:sz w:val="20"/>
        </w:rPr>
      </w:pPr>
      <w:r>
        <w:rPr>
          <w:rFonts w:ascii="Verdana" w:hAnsi="Verdana" w:cs="Arial"/>
          <w:sz w:val="20"/>
        </w:rPr>
        <w:t>Le présent dossier de qualification doit être retourné par l’Opérateur d’Effacement du Site de Soutirage attaché à la demande de qualification des sites de soutirage télérelevés sur le modèle de l’Annexe 13 des règles NEBEF.</w:t>
      </w:r>
    </w:p>
    <w:p w14:paraId="029044CB" w14:textId="77777777" w:rsidR="00D717BB" w:rsidRDefault="00E764E1" w:rsidP="009157AE">
      <w:pPr>
        <w:jc w:val="both"/>
        <w:rPr>
          <w:rFonts w:ascii="Verdana" w:hAnsi="Verdana" w:cs="Arial"/>
          <w:sz w:val="20"/>
        </w:rPr>
      </w:pPr>
      <w:r>
        <w:rPr>
          <w:rFonts w:ascii="Verdana" w:hAnsi="Verdana" w:cs="Arial"/>
          <w:sz w:val="20"/>
        </w:rPr>
        <w:t>Ce dossier vise à transmettre à RTE l’ensemble des données permettant de confirmer que le site candidat répond aux dispositions prévues à l’art 9.2.9 des règes NEBEF</w:t>
      </w:r>
      <w:r w:rsidR="009157AE" w:rsidRPr="00927EEE">
        <w:rPr>
          <w:rFonts w:ascii="Verdana" w:hAnsi="Verdana" w:cs="Arial"/>
          <w:sz w:val="20"/>
        </w:rPr>
        <w:t>.</w:t>
      </w:r>
    </w:p>
    <w:p w14:paraId="1B419CFF" w14:textId="139DA70D" w:rsidR="00612D27" w:rsidRDefault="00612D27" w:rsidP="009157AE">
      <w:pPr>
        <w:jc w:val="both"/>
        <w:rPr>
          <w:rFonts w:ascii="Verdana" w:hAnsi="Verdana" w:cs="Arial"/>
          <w:sz w:val="20"/>
        </w:rPr>
      </w:pPr>
      <w:r>
        <w:rPr>
          <w:rFonts w:ascii="Verdana" w:hAnsi="Verdana" w:cs="Arial"/>
          <w:sz w:val="20"/>
        </w:rPr>
        <w:t>La complétude du présent dossier est une condition à l’</w:t>
      </w:r>
      <w:r w:rsidR="00FC45E8">
        <w:rPr>
          <w:rFonts w:ascii="Verdana" w:hAnsi="Verdana" w:cs="Arial"/>
          <w:sz w:val="20"/>
        </w:rPr>
        <w:t>attribution de la qualification.</w:t>
      </w:r>
    </w:p>
    <w:p w14:paraId="3F30A639" w14:textId="77777777" w:rsidR="00612D27" w:rsidRDefault="00612D27" w:rsidP="009157AE">
      <w:pPr>
        <w:jc w:val="both"/>
        <w:rPr>
          <w:rFonts w:ascii="Verdana" w:hAnsi="Verdana" w:cs="Arial"/>
          <w:sz w:val="20"/>
        </w:rPr>
      </w:pPr>
    </w:p>
    <w:p w14:paraId="472C2D6D" w14:textId="73ABC462" w:rsidR="009157AE" w:rsidRPr="00927EEE" w:rsidRDefault="009157AE" w:rsidP="009157AE">
      <w:pPr>
        <w:jc w:val="both"/>
        <w:rPr>
          <w:rFonts w:ascii="Verdana" w:hAnsi="Verdana" w:cs="Arial"/>
          <w:sz w:val="20"/>
        </w:rPr>
      </w:pPr>
      <w:r w:rsidRPr="00927EEE">
        <w:rPr>
          <w:rFonts w:ascii="Verdana" w:hAnsi="Verdana" w:cs="Arial"/>
          <w:sz w:val="20"/>
        </w:rPr>
        <w:t xml:space="preserve">Le dossier technique devra permettre de collecter : </w:t>
      </w:r>
    </w:p>
    <w:p w14:paraId="04D78A17" w14:textId="77777777" w:rsidR="009157AE" w:rsidRPr="00927EEE" w:rsidRDefault="009157AE" w:rsidP="009157AE">
      <w:pPr>
        <w:pStyle w:val="Paragraphedeliste"/>
        <w:numPr>
          <w:ilvl w:val="0"/>
          <w:numId w:val="1"/>
        </w:numPr>
        <w:jc w:val="both"/>
        <w:rPr>
          <w:rFonts w:ascii="Verdana" w:hAnsi="Verdana" w:cs="Arial"/>
          <w:sz w:val="20"/>
        </w:rPr>
      </w:pPr>
      <w:r w:rsidRPr="00927EEE">
        <w:rPr>
          <w:rFonts w:ascii="Verdana" w:hAnsi="Verdana" w:cs="Arial"/>
          <w:sz w:val="20"/>
        </w:rPr>
        <w:t>Les justifications de la pertinence d’une sous-mesure pour le site et ses bénéfices</w:t>
      </w:r>
    </w:p>
    <w:p w14:paraId="5BD93F83" w14:textId="75D4D212" w:rsidR="009157AE" w:rsidRPr="00927EEE" w:rsidRDefault="009157AE" w:rsidP="009157AE">
      <w:pPr>
        <w:pStyle w:val="Paragraphedeliste"/>
        <w:numPr>
          <w:ilvl w:val="0"/>
          <w:numId w:val="1"/>
        </w:numPr>
        <w:jc w:val="both"/>
        <w:rPr>
          <w:rFonts w:ascii="Verdana" w:hAnsi="Verdana" w:cs="Arial"/>
          <w:sz w:val="20"/>
        </w:rPr>
      </w:pPr>
      <w:r w:rsidRPr="00927EEE">
        <w:rPr>
          <w:rFonts w:ascii="Verdana" w:hAnsi="Verdana" w:cs="Arial"/>
          <w:sz w:val="20"/>
        </w:rPr>
        <w:t>Une description de</w:t>
      </w:r>
      <w:r w:rsidR="0065132C" w:rsidRPr="00927EEE">
        <w:rPr>
          <w:rFonts w:ascii="Verdana" w:hAnsi="Verdana" w:cs="Arial"/>
          <w:sz w:val="20"/>
        </w:rPr>
        <w:t xml:space="preserve">s </w:t>
      </w:r>
      <w:r w:rsidRPr="00927EEE">
        <w:rPr>
          <w:rFonts w:ascii="Verdana" w:hAnsi="Verdana" w:cs="Arial"/>
          <w:sz w:val="20"/>
        </w:rPr>
        <w:t>usage</w:t>
      </w:r>
      <w:r w:rsidR="0065132C" w:rsidRPr="00927EEE">
        <w:rPr>
          <w:rFonts w:ascii="Verdana" w:hAnsi="Verdana" w:cs="Arial"/>
          <w:sz w:val="20"/>
        </w:rPr>
        <w:t>s</w:t>
      </w:r>
      <w:r w:rsidRPr="00927EEE">
        <w:rPr>
          <w:rFonts w:ascii="Verdana" w:hAnsi="Verdana" w:cs="Arial"/>
          <w:sz w:val="20"/>
        </w:rPr>
        <w:t xml:space="preserve"> ou équipement</w:t>
      </w:r>
      <w:r w:rsidR="0065132C" w:rsidRPr="00927EEE">
        <w:rPr>
          <w:rFonts w:ascii="Verdana" w:hAnsi="Verdana" w:cs="Arial"/>
          <w:sz w:val="20"/>
        </w:rPr>
        <w:t>s</w:t>
      </w:r>
      <w:r w:rsidRPr="00927EEE">
        <w:rPr>
          <w:rFonts w:ascii="Verdana" w:hAnsi="Verdana" w:cs="Arial"/>
          <w:sz w:val="20"/>
        </w:rPr>
        <w:t xml:space="preserve"> instrumenté</w:t>
      </w:r>
      <w:r w:rsidR="0065132C" w:rsidRPr="00927EEE">
        <w:rPr>
          <w:rFonts w:ascii="Verdana" w:hAnsi="Verdana" w:cs="Arial"/>
          <w:sz w:val="20"/>
        </w:rPr>
        <w:t>s</w:t>
      </w:r>
      <w:r w:rsidRPr="00927EEE">
        <w:rPr>
          <w:rFonts w:ascii="Verdana" w:hAnsi="Verdana" w:cs="Arial"/>
          <w:sz w:val="20"/>
        </w:rPr>
        <w:t xml:space="preserve"> pa</w:t>
      </w:r>
      <w:r w:rsidR="003C1D78">
        <w:rPr>
          <w:rFonts w:ascii="Verdana" w:hAnsi="Verdana" w:cs="Arial"/>
          <w:sz w:val="20"/>
        </w:rPr>
        <w:t>r la</w:t>
      </w:r>
      <w:r w:rsidRPr="00927EEE">
        <w:rPr>
          <w:rFonts w:ascii="Verdana" w:hAnsi="Verdana" w:cs="Arial"/>
          <w:sz w:val="20"/>
        </w:rPr>
        <w:t xml:space="preserve"> sous-</w:t>
      </w:r>
      <w:r w:rsidR="003C1D78">
        <w:rPr>
          <w:rFonts w:ascii="Verdana" w:hAnsi="Verdana" w:cs="Arial"/>
          <w:sz w:val="20"/>
        </w:rPr>
        <w:t>mesure</w:t>
      </w:r>
    </w:p>
    <w:p w14:paraId="38667668" w14:textId="544AA891" w:rsidR="009157AE" w:rsidRPr="00927EEE" w:rsidRDefault="009157AE" w:rsidP="009157AE">
      <w:pPr>
        <w:pStyle w:val="Paragraphedeliste"/>
        <w:numPr>
          <w:ilvl w:val="0"/>
          <w:numId w:val="1"/>
        </w:numPr>
        <w:jc w:val="both"/>
        <w:rPr>
          <w:rFonts w:ascii="Verdana" w:hAnsi="Verdana" w:cs="Arial"/>
          <w:sz w:val="20"/>
        </w:rPr>
      </w:pPr>
      <w:r w:rsidRPr="00927EEE">
        <w:rPr>
          <w:rFonts w:ascii="Verdana" w:hAnsi="Verdana" w:cs="Arial"/>
          <w:sz w:val="20"/>
        </w:rPr>
        <w:t>Une des</w:t>
      </w:r>
      <w:r w:rsidR="003C1D78">
        <w:rPr>
          <w:rFonts w:ascii="Verdana" w:hAnsi="Verdana" w:cs="Arial"/>
          <w:sz w:val="20"/>
        </w:rPr>
        <w:t>cription de l’intégration de ces</w:t>
      </w:r>
      <w:r w:rsidRPr="00927EEE">
        <w:rPr>
          <w:rFonts w:ascii="Verdana" w:hAnsi="Verdana" w:cs="Arial"/>
          <w:sz w:val="20"/>
        </w:rPr>
        <w:t xml:space="preserve"> usage</w:t>
      </w:r>
      <w:r w:rsidR="003C1D78">
        <w:rPr>
          <w:rFonts w:ascii="Verdana" w:hAnsi="Verdana" w:cs="Arial"/>
          <w:sz w:val="20"/>
        </w:rPr>
        <w:t>s</w:t>
      </w:r>
      <w:r w:rsidRPr="00927EEE">
        <w:rPr>
          <w:rFonts w:ascii="Verdana" w:hAnsi="Verdana" w:cs="Arial"/>
          <w:sz w:val="20"/>
        </w:rPr>
        <w:t xml:space="preserve"> ou équipement</w:t>
      </w:r>
      <w:r w:rsidR="003C1D78">
        <w:rPr>
          <w:rFonts w:ascii="Verdana" w:hAnsi="Verdana" w:cs="Arial"/>
          <w:sz w:val="20"/>
        </w:rPr>
        <w:t>s</w:t>
      </w:r>
      <w:r w:rsidRPr="00927EEE">
        <w:rPr>
          <w:rFonts w:ascii="Verdana" w:hAnsi="Verdana" w:cs="Arial"/>
          <w:sz w:val="20"/>
        </w:rPr>
        <w:t xml:space="preserve"> au sein du site</w:t>
      </w:r>
    </w:p>
    <w:p w14:paraId="4DD94A3F" w14:textId="783A37A0" w:rsidR="009157AE" w:rsidRPr="00927EEE" w:rsidRDefault="009157AE" w:rsidP="009157AE">
      <w:pPr>
        <w:pStyle w:val="Paragraphedeliste"/>
        <w:numPr>
          <w:ilvl w:val="0"/>
          <w:numId w:val="1"/>
        </w:numPr>
        <w:jc w:val="both"/>
        <w:rPr>
          <w:rFonts w:ascii="Verdana" w:hAnsi="Verdana" w:cs="Arial"/>
          <w:sz w:val="20"/>
        </w:rPr>
      </w:pPr>
      <w:r w:rsidRPr="00927EEE">
        <w:rPr>
          <w:rFonts w:ascii="Verdana" w:hAnsi="Verdana" w:cs="Arial"/>
          <w:sz w:val="20"/>
        </w:rPr>
        <w:t>La justification de l’indépendance de</w:t>
      </w:r>
      <w:r w:rsidR="003C1D78">
        <w:rPr>
          <w:rFonts w:ascii="Verdana" w:hAnsi="Verdana" w:cs="Arial"/>
          <w:sz w:val="20"/>
        </w:rPr>
        <w:t>s</w:t>
      </w:r>
      <w:r w:rsidRPr="00927EEE">
        <w:rPr>
          <w:rFonts w:ascii="Verdana" w:hAnsi="Verdana" w:cs="Arial"/>
          <w:sz w:val="20"/>
        </w:rPr>
        <w:t xml:space="preserve"> usage</w:t>
      </w:r>
      <w:r w:rsidR="003C1D78">
        <w:rPr>
          <w:rFonts w:ascii="Verdana" w:hAnsi="Verdana" w:cs="Arial"/>
          <w:sz w:val="20"/>
        </w:rPr>
        <w:t>s</w:t>
      </w:r>
      <w:r w:rsidRPr="00927EEE">
        <w:rPr>
          <w:rFonts w:ascii="Verdana" w:hAnsi="Verdana" w:cs="Arial"/>
          <w:sz w:val="20"/>
        </w:rPr>
        <w:t xml:space="preserve"> ou équipement</w:t>
      </w:r>
      <w:r w:rsidR="003C1D78">
        <w:rPr>
          <w:rFonts w:ascii="Verdana" w:hAnsi="Verdana" w:cs="Arial"/>
          <w:sz w:val="20"/>
        </w:rPr>
        <w:t>s</w:t>
      </w:r>
      <w:r w:rsidRPr="00927EEE">
        <w:rPr>
          <w:rFonts w:ascii="Verdana" w:hAnsi="Verdana" w:cs="Arial"/>
          <w:sz w:val="20"/>
        </w:rPr>
        <w:t xml:space="preserve"> effacé</w:t>
      </w:r>
      <w:r w:rsidR="00881524">
        <w:rPr>
          <w:rFonts w:ascii="Verdana" w:hAnsi="Verdana" w:cs="Arial"/>
          <w:sz w:val="20"/>
        </w:rPr>
        <w:t>s</w:t>
      </w:r>
      <w:r w:rsidRPr="00927EEE">
        <w:rPr>
          <w:rFonts w:ascii="Verdana" w:hAnsi="Verdana" w:cs="Arial"/>
          <w:sz w:val="20"/>
        </w:rPr>
        <w:t xml:space="preserve"> vis-à-vis du reste du site (non-redondance, absence de compensation ou report, etc.)</w:t>
      </w:r>
    </w:p>
    <w:p w14:paraId="24024441" w14:textId="1301D281" w:rsidR="009157AE" w:rsidRPr="00927EEE" w:rsidRDefault="009157AE" w:rsidP="009157AE">
      <w:pPr>
        <w:pStyle w:val="Paragraphedeliste"/>
        <w:numPr>
          <w:ilvl w:val="0"/>
          <w:numId w:val="1"/>
        </w:numPr>
        <w:jc w:val="both"/>
        <w:rPr>
          <w:rFonts w:ascii="Verdana" w:hAnsi="Verdana" w:cs="Arial"/>
          <w:sz w:val="20"/>
        </w:rPr>
      </w:pPr>
      <w:r w:rsidRPr="00927EEE">
        <w:rPr>
          <w:rFonts w:ascii="Verdana" w:hAnsi="Verdana" w:cs="Arial"/>
          <w:sz w:val="20"/>
        </w:rPr>
        <w:t xml:space="preserve">La description du </w:t>
      </w:r>
      <w:r w:rsidR="0065132C" w:rsidRPr="00927EEE">
        <w:rPr>
          <w:rFonts w:ascii="Verdana" w:hAnsi="Verdana" w:cs="Arial"/>
          <w:sz w:val="20"/>
        </w:rPr>
        <w:t>dispositif de mesure</w:t>
      </w:r>
      <w:r w:rsidR="00093DDC" w:rsidRPr="00927EEE">
        <w:rPr>
          <w:rFonts w:ascii="Verdana" w:hAnsi="Verdana" w:cs="Arial"/>
          <w:sz w:val="20"/>
        </w:rPr>
        <w:t xml:space="preserve"> de l’usage ou équipement</w:t>
      </w:r>
      <w:r w:rsidR="0065132C" w:rsidRPr="00927EEE">
        <w:rPr>
          <w:rFonts w:ascii="Verdana" w:hAnsi="Verdana" w:cs="Arial"/>
          <w:sz w:val="20"/>
        </w:rPr>
        <w:t xml:space="preserve"> </w:t>
      </w:r>
      <w:r w:rsidRPr="00927EEE">
        <w:rPr>
          <w:rFonts w:ascii="Verdana" w:hAnsi="Verdana" w:cs="Arial"/>
          <w:sz w:val="20"/>
        </w:rPr>
        <w:t xml:space="preserve">installé (modèle et </w:t>
      </w:r>
      <w:r w:rsidR="0065132C" w:rsidRPr="00927EEE">
        <w:rPr>
          <w:rFonts w:ascii="Verdana" w:hAnsi="Verdana" w:cs="Arial"/>
          <w:sz w:val="20"/>
        </w:rPr>
        <w:t>précision</w:t>
      </w:r>
      <w:r w:rsidRPr="00927EEE">
        <w:rPr>
          <w:rFonts w:ascii="Verdana" w:hAnsi="Verdana" w:cs="Arial"/>
          <w:sz w:val="20"/>
        </w:rPr>
        <w:t>) et sa localisation</w:t>
      </w:r>
    </w:p>
    <w:p w14:paraId="060144A3" w14:textId="77777777" w:rsidR="009157AE" w:rsidRPr="00927EEE" w:rsidRDefault="009157AE" w:rsidP="009157AE">
      <w:pPr>
        <w:pStyle w:val="Paragraphedeliste"/>
        <w:numPr>
          <w:ilvl w:val="0"/>
          <w:numId w:val="1"/>
        </w:numPr>
        <w:jc w:val="both"/>
        <w:rPr>
          <w:rFonts w:ascii="Verdana" w:hAnsi="Verdana" w:cs="Arial"/>
          <w:sz w:val="20"/>
        </w:rPr>
      </w:pPr>
      <w:r w:rsidRPr="00927EEE">
        <w:rPr>
          <w:rFonts w:ascii="Verdana" w:hAnsi="Verdana" w:cs="Arial"/>
          <w:sz w:val="20"/>
        </w:rPr>
        <w:t>Un</w:t>
      </w:r>
      <w:r w:rsidR="00B407F9" w:rsidRPr="00927EEE">
        <w:rPr>
          <w:rFonts w:ascii="Verdana" w:hAnsi="Verdana" w:cs="Arial"/>
          <w:sz w:val="20"/>
        </w:rPr>
        <w:t xml:space="preserve"> recensement des données techniques pouvant être mises à disposition</w:t>
      </w:r>
    </w:p>
    <w:p w14:paraId="79B2DE94" w14:textId="2AEF2A07" w:rsidR="00397CEA" w:rsidRPr="00927EEE" w:rsidRDefault="009157AE" w:rsidP="009157AE">
      <w:pPr>
        <w:jc w:val="both"/>
        <w:rPr>
          <w:rFonts w:ascii="Verdana" w:hAnsi="Verdana" w:cs="Arial"/>
          <w:sz w:val="20"/>
        </w:rPr>
      </w:pPr>
      <w:r w:rsidRPr="00927EEE">
        <w:rPr>
          <w:rFonts w:ascii="Verdana" w:hAnsi="Verdana" w:cs="Arial"/>
          <w:sz w:val="20"/>
        </w:rPr>
        <w:t>Ce dossier est à remplir par l’</w:t>
      </w:r>
      <w:r w:rsidR="0065132C" w:rsidRPr="00927EEE">
        <w:rPr>
          <w:rFonts w:ascii="Verdana" w:hAnsi="Verdana" w:cs="Arial"/>
          <w:sz w:val="20"/>
        </w:rPr>
        <w:t>O</w:t>
      </w:r>
      <w:r w:rsidRPr="00927EEE">
        <w:rPr>
          <w:rFonts w:ascii="Verdana" w:hAnsi="Verdana" w:cs="Arial"/>
          <w:sz w:val="20"/>
        </w:rPr>
        <w:t>pérateur</w:t>
      </w:r>
      <w:r w:rsidR="0065132C" w:rsidRPr="00927EEE">
        <w:rPr>
          <w:rFonts w:ascii="Verdana" w:hAnsi="Verdana" w:cs="Arial"/>
          <w:sz w:val="20"/>
        </w:rPr>
        <w:t xml:space="preserve"> d’Effacement</w:t>
      </w:r>
      <w:r w:rsidRPr="00927EEE">
        <w:rPr>
          <w:rFonts w:ascii="Verdana" w:hAnsi="Verdana" w:cs="Arial"/>
          <w:sz w:val="20"/>
        </w:rPr>
        <w:t xml:space="preserve"> </w:t>
      </w:r>
      <w:r w:rsidR="00093DDC" w:rsidRPr="00927EEE">
        <w:rPr>
          <w:rFonts w:ascii="Verdana" w:hAnsi="Verdana" w:cs="Arial"/>
          <w:sz w:val="20"/>
        </w:rPr>
        <w:t xml:space="preserve">du </w:t>
      </w:r>
      <w:r w:rsidR="00CA1126" w:rsidRPr="00927EEE">
        <w:rPr>
          <w:rFonts w:ascii="Verdana" w:hAnsi="Verdana" w:cs="Arial"/>
          <w:sz w:val="20"/>
        </w:rPr>
        <w:t>S</w:t>
      </w:r>
      <w:r w:rsidR="00093DDC" w:rsidRPr="00927EEE">
        <w:rPr>
          <w:rFonts w:ascii="Verdana" w:hAnsi="Verdana" w:cs="Arial"/>
          <w:sz w:val="20"/>
        </w:rPr>
        <w:t>ite, sur la base des éléments transmis par le Site</w:t>
      </w:r>
      <w:r w:rsidR="00420013" w:rsidRPr="00927EEE">
        <w:rPr>
          <w:rFonts w:ascii="Verdana" w:hAnsi="Verdana" w:cs="Arial"/>
          <w:sz w:val="20"/>
        </w:rPr>
        <w:t>.</w:t>
      </w:r>
    </w:p>
    <w:p w14:paraId="170ABF82" w14:textId="68E33B59" w:rsidR="003C1D78" w:rsidRDefault="003C1D78" w:rsidP="00B407F9">
      <w:pPr>
        <w:jc w:val="both"/>
        <w:rPr>
          <w:rFonts w:ascii="Verdana" w:hAnsi="Verdana" w:cs="Arial"/>
          <w:sz w:val="20"/>
        </w:rPr>
      </w:pPr>
      <w:r>
        <w:rPr>
          <w:rFonts w:ascii="Verdana" w:hAnsi="Verdana" w:cs="Arial"/>
          <w:sz w:val="20"/>
        </w:rPr>
        <w:t>RTE est susceptible de procéder à un audit dans les locaux du site de soutirage afin de vérifier la sincérité des éléments transmis dans le présent dossier tel que prévu par l’art 9.2.2.2 des règles NEBEF.</w:t>
      </w:r>
    </w:p>
    <w:p w14:paraId="4949877D" w14:textId="34861911" w:rsidR="003D0A10" w:rsidRDefault="003D0A10">
      <w:pPr>
        <w:rPr>
          <w:rFonts w:ascii="Verdana" w:hAnsi="Verdana" w:cs="Arial"/>
          <w:sz w:val="20"/>
        </w:rPr>
      </w:pPr>
      <w:r>
        <w:rPr>
          <w:rFonts w:ascii="Verdana" w:hAnsi="Verdana" w:cs="Arial"/>
          <w:sz w:val="20"/>
        </w:rPr>
        <w:br w:type="page"/>
      </w:r>
    </w:p>
    <w:p w14:paraId="3A17C590" w14:textId="3C5F3AF7" w:rsidR="00B407F9" w:rsidRPr="003C1D78" w:rsidRDefault="0057446B" w:rsidP="00B407F9">
      <w:pPr>
        <w:jc w:val="both"/>
        <w:rPr>
          <w:rFonts w:ascii="Verdana" w:hAnsi="Verdana" w:cs="Arial"/>
          <w:color w:val="4472C4" w:themeColor="accent5"/>
          <w:sz w:val="20"/>
          <w:u w:val="single"/>
        </w:rPr>
      </w:pPr>
      <w:r>
        <w:rPr>
          <w:rFonts w:ascii="Verdana" w:hAnsi="Verdana" w:cs="Arial"/>
          <w:color w:val="4472C4" w:themeColor="accent5"/>
          <w:sz w:val="20"/>
          <w:u w:val="single"/>
        </w:rPr>
        <w:lastRenderedPageBreak/>
        <w:t>Modèle</w:t>
      </w:r>
      <w:r w:rsidR="00190322" w:rsidRPr="003C1D78">
        <w:rPr>
          <w:rFonts w:ascii="Verdana" w:hAnsi="Verdana" w:cs="Arial"/>
          <w:color w:val="4472C4" w:themeColor="accent5"/>
          <w:sz w:val="20"/>
          <w:u w:val="single"/>
        </w:rPr>
        <w:t xml:space="preserve"> du dossier </w:t>
      </w:r>
      <w:r w:rsidR="00C4463B">
        <w:rPr>
          <w:rFonts w:ascii="Verdana" w:hAnsi="Verdana" w:cs="Arial"/>
          <w:color w:val="4472C4" w:themeColor="accent5"/>
          <w:sz w:val="20"/>
          <w:u w:val="single"/>
        </w:rPr>
        <w:t>de qualification</w:t>
      </w:r>
      <w:r w:rsidR="00190322" w:rsidRPr="003C1D78">
        <w:rPr>
          <w:rFonts w:ascii="Verdana" w:hAnsi="Verdana" w:cs="Arial"/>
          <w:color w:val="4472C4" w:themeColor="accent5"/>
          <w:sz w:val="20"/>
          <w:u w:val="single"/>
        </w:rPr>
        <w:t xml:space="preserve"> </w:t>
      </w:r>
      <w:r w:rsidR="00B407F9" w:rsidRPr="003C1D78">
        <w:rPr>
          <w:rFonts w:ascii="Verdana" w:hAnsi="Verdana" w:cs="Arial"/>
          <w:color w:val="4472C4" w:themeColor="accent5"/>
          <w:sz w:val="20"/>
          <w:u w:val="single"/>
        </w:rPr>
        <w:t xml:space="preserve">: </w:t>
      </w:r>
    </w:p>
    <w:p w14:paraId="3D030AD7" w14:textId="77777777" w:rsidR="00B407F9" w:rsidRPr="00927EEE" w:rsidRDefault="00B407F9" w:rsidP="009157AE">
      <w:pPr>
        <w:jc w:val="both"/>
        <w:rPr>
          <w:rFonts w:ascii="Verdana" w:hAnsi="Verdana" w:cs="Arial"/>
          <w:sz w:val="20"/>
        </w:rPr>
      </w:pPr>
    </w:p>
    <w:p w14:paraId="448EB058" w14:textId="1B88A90A" w:rsidR="00CD25E5" w:rsidRDefault="00CD25E5" w:rsidP="00190322">
      <w:pPr>
        <w:pStyle w:val="Paragraphedeliste"/>
        <w:numPr>
          <w:ilvl w:val="0"/>
          <w:numId w:val="2"/>
        </w:numPr>
        <w:spacing w:line="480" w:lineRule="auto"/>
        <w:jc w:val="both"/>
        <w:rPr>
          <w:rFonts w:ascii="Verdana" w:hAnsi="Verdana" w:cs="Arial"/>
          <w:b/>
          <w:sz w:val="20"/>
        </w:rPr>
      </w:pPr>
      <w:r>
        <w:rPr>
          <w:rFonts w:ascii="Verdana" w:hAnsi="Verdana" w:cs="Arial"/>
          <w:b/>
          <w:sz w:val="20"/>
        </w:rPr>
        <w:t>Coordonnées de l’interlocuteur du site de soutirage</w:t>
      </w:r>
    </w:p>
    <w:p w14:paraId="1E00B0BB" w14:textId="7DC8D7A0" w:rsidR="00CD25E5" w:rsidRPr="00D55CD2" w:rsidRDefault="00CD25E5" w:rsidP="00CD25E5">
      <w:pPr>
        <w:pStyle w:val="Paragraphedeliste"/>
        <w:numPr>
          <w:ilvl w:val="0"/>
          <w:numId w:val="1"/>
        </w:numPr>
        <w:spacing w:after="120" w:line="240" w:lineRule="auto"/>
        <w:ind w:left="714" w:hanging="357"/>
        <w:jc w:val="both"/>
        <w:rPr>
          <w:rFonts w:ascii="Verdana" w:hAnsi="Verdana" w:cs="Arial"/>
          <w:b/>
          <w:color w:val="A5A5A5" w:themeColor="accent3"/>
          <w:sz w:val="20"/>
        </w:rPr>
      </w:pPr>
      <w:r w:rsidRPr="00D55CD2">
        <w:rPr>
          <w:rFonts w:ascii="Verdana" w:hAnsi="Verdana" w:cs="Arial"/>
          <w:i/>
          <w:color w:val="A5A5A5" w:themeColor="accent3"/>
          <w:sz w:val="20"/>
        </w:rPr>
        <w:t>Nom, Prénom, Fonction, téléphone et mail d’un interlocuteur au sein du site de soutirage susceptible d’être contacté afin de préciser des éléments transmis dans le cadre du dossier de qualification.</w:t>
      </w:r>
    </w:p>
    <w:p w14:paraId="7E887AD1" w14:textId="77777777" w:rsidR="00CD25E5" w:rsidRPr="00CD25E5" w:rsidRDefault="00CD25E5" w:rsidP="00CD25E5">
      <w:pPr>
        <w:pStyle w:val="Paragraphedeliste"/>
        <w:spacing w:after="120" w:line="240" w:lineRule="auto"/>
        <w:ind w:left="714"/>
        <w:jc w:val="both"/>
        <w:rPr>
          <w:rFonts w:ascii="Verdana" w:hAnsi="Verdana" w:cs="Arial"/>
          <w:b/>
          <w:sz w:val="20"/>
        </w:rPr>
      </w:pPr>
    </w:p>
    <w:p w14:paraId="38C3B8AA" w14:textId="4A52160B" w:rsidR="00190322" w:rsidRPr="00927EEE" w:rsidRDefault="00190322" w:rsidP="00190322">
      <w:pPr>
        <w:pStyle w:val="Paragraphedeliste"/>
        <w:numPr>
          <w:ilvl w:val="0"/>
          <w:numId w:val="2"/>
        </w:numPr>
        <w:spacing w:line="480" w:lineRule="auto"/>
        <w:jc w:val="both"/>
        <w:rPr>
          <w:rFonts w:ascii="Verdana" w:hAnsi="Verdana" w:cs="Arial"/>
          <w:b/>
          <w:sz w:val="20"/>
        </w:rPr>
      </w:pPr>
      <w:r w:rsidRPr="00927EEE">
        <w:rPr>
          <w:rFonts w:ascii="Verdana" w:hAnsi="Verdana" w:cs="Arial"/>
          <w:b/>
          <w:sz w:val="20"/>
        </w:rPr>
        <w:t xml:space="preserve">Description du </w:t>
      </w:r>
      <w:r w:rsidR="00FA4AD4">
        <w:rPr>
          <w:rFonts w:ascii="Verdana" w:hAnsi="Verdana" w:cs="Arial"/>
          <w:b/>
          <w:sz w:val="20"/>
        </w:rPr>
        <w:t xml:space="preserve">site de soutirage </w:t>
      </w:r>
    </w:p>
    <w:p w14:paraId="47903470" w14:textId="780A293C" w:rsidR="00190322" w:rsidRPr="00927EEE" w:rsidRDefault="00190322" w:rsidP="00190322">
      <w:pPr>
        <w:pStyle w:val="Paragraphedeliste"/>
        <w:numPr>
          <w:ilvl w:val="1"/>
          <w:numId w:val="2"/>
        </w:numPr>
        <w:spacing w:before="120" w:line="480" w:lineRule="auto"/>
        <w:jc w:val="both"/>
        <w:rPr>
          <w:rFonts w:ascii="Verdana" w:hAnsi="Verdana" w:cs="Arial"/>
          <w:sz w:val="20"/>
        </w:rPr>
      </w:pPr>
      <w:r w:rsidRPr="00927EEE">
        <w:rPr>
          <w:rFonts w:ascii="Verdana" w:hAnsi="Verdana" w:cs="Arial"/>
          <w:sz w:val="20"/>
        </w:rPr>
        <w:t xml:space="preserve">Raison </w:t>
      </w:r>
      <w:r w:rsidR="0099527C" w:rsidRPr="00927EEE">
        <w:rPr>
          <w:rFonts w:ascii="Verdana" w:hAnsi="Verdana" w:cs="Arial"/>
          <w:sz w:val="20"/>
        </w:rPr>
        <w:t xml:space="preserve">sociale du </w:t>
      </w:r>
      <w:r w:rsidR="00FA4AD4">
        <w:rPr>
          <w:rFonts w:ascii="Verdana" w:hAnsi="Verdana" w:cs="Arial"/>
          <w:sz w:val="20"/>
        </w:rPr>
        <w:t>site</w:t>
      </w:r>
    </w:p>
    <w:p w14:paraId="02388EFF" w14:textId="77777777" w:rsidR="00190322" w:rsidRDefault="00190322" w:rsidP="00190322">
      <w:pPr>
        <w:pStyle w:val="Paragraphedeliste"/>
        <w:numPr>
          <w:ilvl w:val="1"/>
          <w:numId w:val="2"/>
        </w:numPr>
        <w:spacing w:before="120" w:line="480" w:lineRule="auto"/>
        <w:jc w:val="both"/>
        <w:rPr>
          <w:rFonts w:ascii="Verdana" w:hAnsi="Verdana" w:cs="Arial"/>
          <w:sz w:val="20"/>
        </w:rPr>
      </w:pPr>
      <w:r w:rsidRPr="00927EEE">
        <w:rPr>
          <w:rFonts w:ascii="Verdana" w:hAnsi="Verdana" w:cs="Arial"/>
          <w:sz w:val="20"/>
        </w:rPr>
        <w:t>Activité et code NAF</w:t>
      </w:r>
    </w:p>
    <w:p w14:paraId="6BE1D700" w14:textId="301E1680" w:rsidR="0057446B" w:rsidRPr="0057446B" w:rsidRDefault="0057446B" w:rsidP="0057446B">
      <w:pPr>
        <w:pStyle w:val="Paragraphedeliste"/>
        <w:numPr>
          <w:ilvl w:val="1"/>
          <w:numId w:val="2"/>
        </w:numPr>
        <w:spacing w:before="120" w:line="480" w:lineRule="auto"/>
        <w:jc w:val="both"/>
        <w:rPr>
          <w:rFonts w:ascii="Verdana" w:hAnsi="Verdana" w:cs="Arial"/>
          <w:sz w:val="20"/>
        </w:rPr>
      </w:pPr>
      <w:r w:rsidRPr="00927EEE">
        <w:rPr>
          <w:rFonts w:ascii="Verdana" w:hAnsi="Verdana" w:cs="Arial"/>
          <w:sz w:val="20"/>
        </w:rPr>
        <w:t>Adresse Physique et Code Postal</w:t>
      </w:r>
    </w:p>
    <w:p w14:paraId="4ED28C1A" w14:textId="77777777" w:rsidR="00190322" w:rsidRPr="00927EEE" w:rsidRDefault="00190322" w:rsidP="00190322">
      <w:pPr>
        <w:pStyle w:val="Paragraphedeliste"/>
        <w:numPr>
          <w:ilvl w:val="1"/>
          <w:numId w:val="2"/>
        </w:numPr>
        <w:spacing w:before="120" w:after="0" w:line="480" w:lineRule="auto"/>
        <w:ind w:left="788" w:hanging="431"/>
        <w:jc w:val="both"/>
        <w:rPr>
          <w:rFonts w:ascii="Verdana" w:hAnsi="Verdana" w:cs="Arial"/>
          <w:sz w:val="20"/>
        </w:rPr>
      </w:pPr>
      <w:r w:rsidRPr="00927EEE">
        <w:rPr>
          <w:rFonts w:ascii="Verdana" w:hAnsi="Verdana" w:cs="Arial"/>
          <w:sz w:val="20"/>
        </w:rPr>
        <w:t>Raccordement et comptage</w:t>
      </w:r>
    </w:p>
    <w:p w14:paraId="6D31FE61" w14:textId="77777777" w:rsidR="0057446B" w:rsidRPr="00D55CD2" w:rsidRDefault="00190322" w:rsidP="009C77D7">
      <w:pPr>
        <w:pStyle w:val="Paragraphedeliste"/>
        <w:numPr>
          <w:ilvl w:val="0"/>
          <w:numId w:val="4"/>
        </w:numPr>
        <w:spacing w:line="480" w:lineRule="auto"/>
        <w:jc w:val="both"/>
        <w:rPr>
          <w:rFonts w:ascii="Verdana" w:hAnsi="Verdana" w:cs="Arial"/>
          <w:i/>
          <w:color w:val="A5A5A5" w:themeColor="accent3"/>
          <w:sz w:val="20"/>
        </w:rPr>
      </w:pPr>
      <w:r w:rsidRPr="00D55CD2">
        <w:rPr>
          <w:rFonts w:ascii="Verdana" w:hAnsi="Verdana" w:cs="Arial"/>
          <w:i/>
          <w:color w:val="A5A5A5" w:themeColor="accent3"/>
          <w:sz w:val="20"/>
        </w:rPr>
        <w:t xml:space="preserve">RPD/RPT et segment Opérateur de Réseau </w:t>
      </w:r>
    </w:p>
    <w:p w14:paraId="7E559584" w14:textId="2CFC64AF" w:rsidR="00190322" w:rsidRPr="00D55CD2" w:rsidRDefault="0057446B" w:rsidP="009C77D7">
      <w:pPr>
        <w:pStyle w:val="Paragraphedeliste"/>
        <w:numPr>
          <w:ilvl w:val="0"/>
          <w:numId w:val="4"/>
        </w:numPr>
        <w:spacing w:line="480" w:lineRule="auto"/>
        <w:jc w:val="both"/>
        <w:rPr>
          <w:rFonts w:ascii="Verdana" w:hAnsi="Verdana" w:cs="Arial"/>
          <w:i/>
          <w:color w:val="A5A5A5" w:themeColor="accent3"/>
          <w:sz w:val="20"/>
        </w:rPr>
      </w:pPr>
      <w:r w:rsidRPr="00D55CD2">
        <w:rPr>
          <w:rFonts w:ascii="Verdana" w:hAnsi="Verdana" w:cs="Arial"/>
          <w:i/>
          <w:color w:val="A5A5A5" w:themeColor="accent3"/>
          <w:sz w:val="20"/>
        </w:rPr>
        <w:t>Si RPD préciser le GRD</w:t>
      </w:r>
    </w:p>
    <w:p w14:paraId="3455D227" w14:textId="77777777" w:rsidR="004A010C" w:rsidRPr="00D55CD2" w:rsidRDefault="00472F80" w:rsidP="00472F80">
      <w:pPr>
        <w:pStyle w:val="Paragraphedeliste"/>
        <w:numPr>
          <w:ilvl w:val="0"/>
          <w:numId w:val="4"/>
        </w:numPr>
        <w:spacing w:line="240" w:lineRule="auto"/>
        <w:ind w:left="714" w:hanging="357"/>
        <w:contextualSpacing w:val="0"/>
        <w:jc w:val="both"/>
        <w:rPr>
          <w:rFonts w:ascii="Verdana" w:hAnsi="Verdana" w:cs="Arial"/>
          <w:i/>
          <w:color w:val="A5A5A5" w:themeColor="accent3"/>
          <w:sz w:val="20"/>
        </w:rPr>
      </w:pPr>
      <w:r w:rsidRPr="00D55CD2">
        <w:rPr>
          <w:rFonts w:ascii="Verdana" w:hAnsi="Verdana" w:cs="Arial"/>
          <w:i/>
          <w:color w:val="A5A5A5" w:themeColor="accent3"/>
          <w:sz w:val="20"/>
        </w:rPr>
        <w:t>Référence du Site de Soutirage telle que définie à l’Article 5.2.2.3.2</w:t>
      </w:r>
      <w:r w:rsidR="004A010C" w:rsidRPr="00D55CD2">
        <w:rPr>
          <w:rFonts w:ascii="Verdana" w:hAnsi="Verdana" w:cs="Arial"/>
          <w:i/>
          <w:color w:val="A5A5A5" w:themeColor="accent3"/>
          <w:sz w:val="20"/>
        </w:rPr>
        <w:t xml:space="preserve"> </w:t>
      </w:r>
      <w:r w:rsidRPr="00D55CD2">
        <w:rPr>
          <w:rFonts w:ascii="Verdana" w:hAnsi="Verdana" w:cs="Arial"/>
          <w:i/>
          <w:color w:val="A5A5A5" w:themeColor="accent3"/>
          <w:sz w:val="20"/>
        </w:rPr>
        <w:t>des règles NEBEF 3.3</w:t>
      </w:r>
    </w:p>
    <w:p w14:paraId="5B6BFCE8" w14:textId="77777777" w:rsidR="00190322" w:rsidRPr="00927EEE" w:rsidRDefault="00190322" w:rsidP="00190322">
      <w:pPr>
        <w:pStyle w:val="Paragraphedeliste"/>
        <w:numPr>
          <w:ilvl w:val="1"/>
          <w:numId w:val="2"/>
        </w:numPr>
        <w:spacing w:before="120" w:line="480" w:lineRule="auto"/>
        <w:jc w:val="both"/>
        <w:rPr>
          <w:rFonts w:ascii="Verdana" w:hAnsi="Verdana" w:cs="Arial"/>
          <w:sz w:val="20"/>
        </w:rPr>
      </w:pPr>
      <w:r w:rsidRPr="00927EEE">
        <w:rPr>
          <w:rFonts w:ascii="Verdana" w:hAnsi="Verdana" w:cs="Arial"/>
          <w:sz w:val="20"/>
        </w:rPr>
        <w:t>Puissance souscrite</w:t>
      </w:r>
    </w:p>
    <w:p w14:paraId="58D228D8" w14:textId="38DCDA29" w:rsidR="00190322" w:rsidRDefault="00190322" w:rsidP="00190322">
      <w:pPr>
        <w:pStyle w:val="Paragraphedeliste"/>
        <w:numPr>
          <w:ilvl w:val="1"/>
          <w:numId w:val="2"/>
        </w:numPr>
        <w:spacing w:before="120" w:line="480" w:lineRule="auto"/>
        <w:jc w:val="both"/>
        <w:rPr>
          <w:rFonts w:ascii="Verdana" w:hAnsi="Verdana" w:cs="Arial"/>
          <w:sz w:val="20"/>
        </w:rPr>
      </w:pPr>
      <w:r w:rsidRPr="00927EEE">
        <w:rPr>
          <w:rFonts w:ascii="Verdana" w:hAnsi="Verdana" w:cs="Arial"/>
          <w:sz w:val="20"/>
        </w:rPr>
        <w:t>Consommation annuelle année n-1</w:t>
      </w:r>
      <w:r w:rsidR="00FA4AD4">
        <w:rPr>
          <w:rFonts w:ascii="Verdana" w:hAnsi="Verdana" w:cs="Arial"/>
          <w:sz w:val="20"/>
        </w:rPr>
        <w:t xml:space="preserve"> du site de soutirage</w:t>
      </w:r>
    </w:p>
    <w:p w14:paraId="7243372B" w14:textId="0247B6F9" w:rsidR="00EC3890" w:rsidRPr="00927EEE" w:rsidRDefault="00EC3890" w:rsidP="00EC3890">
      <w:pPr>
        <w:pStyle w:val="Paragraphedeliste"/>
        <w:numPr>
          <w:ilvl w:val="1"/>
          <w:numId w:val="2"/>
        </w:numPr>
        <w:spacing w:before="120" w:line="480" w:lineRule="auto"/>
        <w:jc w:val="both"/>
        <w:rPr>
          <w:rFonts w:ascii="Verdana" w:hAnsi="Verdana" w:cs="Arial"/>
          <w:sz w:val="20"/>
        </w:rPr>
      </w:pPr>
      <w:r>
        <w:rPr>
          <w:rFonts w:ascii="Verdana" w:hAnsi="Verdana" w:cs="Arial"/>
          <w:sz w:val="20"/>
        </w:rPr>
        <w:t>Opérateur d’effacement</w:t>
      </w:r>
    </w:p>
    <w:p w14:paraId="39B83F76" w14:textId="77777777" w:rsidR="004B2453" w:rsidRDefault="00EC3890" w:rsidP="004B2453">
      <w:pPr>
        <w:pStyle w:val="Paragraphedeliste"/>
        <w:numPr>
          <w:ilvl w:val="0"/>
          <w:numId w:val="4"/>
        </w:numPr>
        <w:spacing w:after="0" w:line="240" w:lineRule="auto"/>
        <w:ind w:left="714" w:hanging="357"/>
        <w:jc w:val="both"/>
        <w:rPr>
          <w:rFonts w:ascii="Verdana" w:hAnsi="Verdana" w:cs="Arial"/>
          <w:i/>
          <w:color w:val="A5A5A5" w:themeColor="accent3"/>
          <w:sz w:val="20"/>
        </w:rPr>
      </w:pPr>
      <w:r>
        <w:rPr>
          <w:rFonts w:ascii="Verdana" w:hAnsi="Verdana" w:cs="Arial"/>
          <w:i/>
          <w:color w:val="A5A5A5" w:themeColor="accent3"/>
          <w:sz w:val="20"/>
        </w:rPr>
        <w:t xml:space="preserve">Joindre la preuve que l’Opérateur d’Effacement dispose de la qualité d’Opérateur d’Effacement qualifié pour la Sous-Mesure ou que sa demande </w:t>
      </w:r>
      <w:r w:rsidR="00881524">
        <w:rPr>
          <w:rFonts w:ascii="Verdana" w:hAnsi="Verdana" w:cs="Arial"/>
          <w:i/>
          <w:color w:val="A5A5A5" w:themeColor="accent3"/>
          <w:sz w:val="20"/>
        </w:rPr>
        <w:t xml:space="preserve">de qualification </w:t>
      </w:r>
      <w:r>
        <w:rPr>
          <w:rFonts w:ascii="Verdana" w:hAnsi="Verdana" w:cs="Arial"/>
          <w:i/>
          <w:color w:val="A5A5A5" w:themeColor="accent3"/>
          <w:sz w:val="20"/>
        </w:rPr>
        <w:t xml:space="preserve">a été déposée </w:t>
      </w:r>
      <w:r w:rsidR="00881524">
        <w:rPr>
          <w:rFonts w:ascii="Verdana" w:hAnsi="Verdana" w:cs="Arial"/>
          <w:i/>
          <w:color w:val="A5A5A5" w:themeColor="accent3"/>
          <w:sz w:val="20"/>
        </w:rPr>
        <w:t>auprès de RTE</w:t>
      </w:r>
      <w:r w:rsidR="004B2453">
        <w:rPr>
          <w:rFonts w:ascii="Verdana" w:hAnsi="Verdana" w:cs="Arial"/>
          <w:i/>
          <w:color w:val="A5A5A5" w:themeColor="accent3"/>
          <w:sz w:val="20"/>
        </w:rPr>
        <w:t>.</w:t>
      </w:r>
    </w:p>
    <w:p w14:paraId="32545F81" w14:textId="3BC9F219" w:rsidR="004B2453" w:rsidRPr="004B2453" w:rsidRDefault="004B2453" w:rsidP="008040EB">
      <w:pPr>
        <w:pStyle w:val="Paragraphedeliste"/>
        <w:numPr>
          <w:ilvl w:val="0"/>
          <w:numId w:val="4"/>
        </w:numPr>
        <w:spacing w:before="120" w:after="120" w:line="240" w:lineRule="auto"/>
        <w:ind w:left="714" w:hanging="357"/>
        <w:contextualSpacing w:val="0"/>
        <w:jc w:val="both"/>
        <w:rPr>
          <w:rFonts w:ascii="Verdana" w:hAnsi="Verdana" w:cs="Arial"/>
          <w:i/>
          <w:color w:val="A5A5A5" w:themeColor="accent3"/>
          <w:sz w:val="20"/>
        </w:rPr>
      </w:pPr>
      <w:r>
        <w:rPr>
          <w:rFonts w:ascii="Verdana" w:hAnsi="Verdana" w:cs="Arial"/>
          <w:i/>
          <w:color w:val="A5A5A5" w:themeColor="accent3"/>
          <w:sz w:val="20"/>
        </w:rPr>
        <w:t>Si l</w:t>
      </w:r>
      <w:r w:rsidRPr="004B2453">
        <w:rPr>
          <w:rFonts w:ascii="Verdana" w:hAnsi="Verdana" w:cs="Arial"/>
          <w:i/>
          <w:color w:val="A5A5A5" w:themeColor="accent3"/>
          <w:sz w:val="20"/>
        </w:rPr>
        <w:t xml:space="preserve">’Opérateur d’Effacement dans le cadre de l’expérimentation </w:t>
      </w:r>
      <w:r>
        <w:rPr>
          <w:rFonts w:ascii="Verdana" w:hAnsi="Verdana" w:cs="Arial"/>
          <w:i/>
          <w:color w:val="A5A5A5" w:themeColor="accent3"/>
          <w:sz w:val="20"/>
        </w:rPr>
        <w:t>a choisi de faire</w:t>
      </w:r>
      <w:r w:rsidRPr="004B2453">
        <w:rPr>
          <w:rFonts w:ascii="Verdana" w:hAnsi="Verdana" w:cs="Arial"/>
          <w:i/>
          <w:color w:val="A5A5A5" w:themeColor="accent3"/>
          <w:sz w:val="20"/>
        </w:rPr>
        <w:t xml:space="preserve"> appel à un acteur externe disposant d’une qualification répondant au</w:t>
      </w:r>
      <w:r w:rsidR="008040EB">
        <w:rPr>
          <w:rFonts w:ascii="Verdana" w:hAnsi="Verdana" w:cs="Arial"/>
          <w:i/>
          <w:color w:val="A5A5A5" w:themeColor="accent3"/>
          <w:sz w:val="20"/>
        </w:rPr>
        <w:t>x exigences de l’Article 9.1.9, fournir la preuve de la commande passée auprès de l’acteur externe qualifié.</w:t>
      </w:r>
      <w:bookmarkStart w:id="0" w:name="_GoBack"/>
      <w:bookmarkEnd w:id="0"/>
    </w:p>
    <w:p w14:paraId="6821159C" w14:textId="713C534B" w:rsidR="0065132C" w:rsidRPr="004B2453" w:rsidRDefault="0065132C" w:rsidP="008040EB">
      <w:pPr>
        <w:pStyle w:val="Paragraphedeliste"/>
        <w:numPr>
          <w:ilvl w:val="1"/>
          <w:numId w:val="2"/>
        </w:numPr>
        <w:spacing w:before="240" w:line="480" w:lineRule="auto"/>
        <w:ind w:left="788" w:hanging="431"/>
        <w:contextualSpacing w:val="0"/>
        <w:jc w:val="both"/>
        <w:rPr>
          <w:rFonts w:ascii="Verdana" w:hAnsi="Verdana" w:cs="Arial"/>
          <w:sz w:val="20"/>
        </w:rPr>
      </w:pPr>
      <w:r w:rsidRPr="004B2453">
        <w:rPr>
          <w:rFonts w:ascii="Verdana" w:hAnsi="Verdana" w:cs="Arial"/>
          <w:sz w:val="20"/>
        </w:rPr>
        <w:t>EDE de rattachement</w:t>
      </w:r>
    </w:p>
    <w:p w14:paraId="19BD2DDD" w14:textId="2D0F1315" w:rsidR="002F496A" w:rsidRDefault="0065132C" w:rsidP="002F496A">
      <w:pPr>
        <w:pStyle w:val="Paragraphedeliste"/>
        <w:numPr>
          <w:ilvl w:val="1"/>
          <w:numId w:val="2"/>
        </w:numPr>
        <w:spacing w:before="120" w:line="480" w:lineRule="auto"/>
        <w:jc w:val="both"/>
        <w:rPr>
          <w:rFonts w:ascii="Verdana" w:hAnsi="Verdana" w:cs="Arial"/>
          <w:sz w:val="20"/>
        </w:rPr>
      </w:pPr>
      <w:r w:rsidRPr="00927EEE">
        <w:rPr>
          <w:rFonts w:ascii="Verdana" w:hAnsi="Verdana" w:cs="Arial"/>
          <w:sz w:val="20"/>
        </w:rPr>
        <w:t>Méthode de contrôle du réalisé utilisée</w:t>
      </w:r>
    </w:p>
    <w:p w14:paraId="365BD982" w14:textId="77777777" w:rsidR="001308A1" w:rsidRPr="001308A1" w:rsidRDefault="001308A1" w:rsidP="001308A1">
      <w:pPr>
        <w:spacing w:before="120" w:line="480" w:lineRule="auto"/>
        <w:jc w:val="both"/>
        <w:rPr>
          <w:rFonts w:ascii="Verdana" w:hAnsi="Verdana" w:cs="Arial"/>
          <w:sz w:val="20"/>
        </w:rPr>
      </w:pPr>
    </w:p>
    <w:p w14:paraId="7CCCF192" w14:textId="2581356B" w:rsidR="002F496A" w:rsidRPr="00927EEE" w:rsidRDefault="00FA4AD4" w:rsidP="002F496A">
      <w:pPr>
        <w:pStyle w:val="Paragraphedeliste"/>
        <w:numPr>
          <w:ilvl w:val="0"/>
          <w:numId w:val="2"/>
        </w:numPr>
        <w:jc w:val="both"/>
        <w:rPr>
          <w:rFonts w:ascii="Verdana" w:hAnsi="Verdana" w:cs="Arial"/>
          <w:b/>
          <w:sz w:val="20"/>
        </w:rPr>
      </w:pPr>
      <w:r>
        <w:rPr>
          <w:rFonts w:ascii="Verdana" w:hAnsi="Verdana" w:cs="Arial"/>
          <w:b/>
          <w:sz w:val="20"/>
        </w:rPr>
        <w:t>Périmètre de la sous-mesure et j</w:t>
      </w:r>
      <w:r w:rsidR="002F496A" w:rsidRPr="00927EEE">
        <w:rPr>
          <w:rFonts w:ascii="Verdana" w:hAnsi="Verdana" w:cs="Arial"/>
          <w:b/>
          <w:sz w:val="20"/>
        </w:rPr>
        <w:t>ustification du besoin de sous-mesure</w:t>
      </w:r>
    </w:p>
    <w:p w14:paraId="5D5C62B4" w14:textId="77777777" w:rsidR="002F496A" w:rsidRPr="00927EEE" w:rsidRDefault="002F496A" w:rsidP="002F496A">
      <w:pPr>
        <w:pStyle w:val="Paragraphedeliste"/>
        <w:spacing w:after="120"/>
        <w:ind w:left="360"/>
        <w:jc w:val="both"/>
        <w:rPr>
          <w:rFonts w:ascii="Verdana" w:hAnsi="Verdana" w:cs="Arial"/>
          <w:b/>
          <w:sz w:val="20"/>
        </w:rPr>
      </w:pPr>
    </w:p>
    <w:p w14:paraId="3C437D1D" w14:textId="77777777" w:rsidR="002F496A" w:rsidRPr="00CD25E5" w:rsidRDefault="002F496A" w:rsidP="002F496A">
      <w:pPr>
        <w:pStyle w:val="Paragraphedeliste"/>
        <w:numPr>
          <w:ilvl w:val="1"/>
          <w:numId w:val="2"/>
        </w:numPr>
        <w:spacing w:before="360"/>
        <w:ind w:left="788" w:hanging="431"/>
        <w:jc w:val="both"/>
        <w:rPr>
          <w:rFonts w:ascii="Verdana" w:hAnsi="Verdana" w:cs="Arial"/>
          <w:sz w:val="20"/>
        </w:rPr>
      </w:pPr>
      <w:r w:rsidRPr="00927EEE">
        <w:rPr>
          <w:rFonts w:ascii="Verdana" w:hAnsi="Verdana" w:cs="Arial"/>
          <w:sz w:val="20"/>
        </w:rPr>
        <w:t>Quel sont les usages ou équipements faisant l’objet d’une sous-mesure ?</w:t>
      </w:r>
    </w:p>
    <w:p w14:paraId="0423A6B1" w14:textId="77777777" w:rsidR="002F496A" w:rsidRPr="00D55CD2" w:rsidRDefault="002F496A" w:rsidP="002F496A">
      <w:pPr>
        <w:pStyle w:val="Paragraphedeliste"/>
        <w:numPr>
          <w:ilvl w:val="0"/>
          <w:numId w:val="3"/>
        </w:numPr>
        <w:jc w:val="both"/>
        <w:rPr>
          <w:rFonts w:ascii="Verdana" w:hAnsi="Verdana" w:cs="Arial"/>
          <w:i/>
          <w:color w:val="A5A5A5" w:themeColor="accent3"/>
          <w:sz w:val="20"/>
        </w:rPr>
      </w:pPr>
      <w:r w:rsidRPr="00D55CD2">
        <w:rPr>
          <w:rFonts w:ascii="Verdana" w:hAnsi="Verdana" w:cs="Arial"/>
          <w:i/>
          <w:color w:val="A5A5A5" w:themeColor="accent3"/>
          <w:sz w:val="20"/>
        </w:rPr>
        <w:t>Description de l’usage (chaine de production, activité, etc.) ou l’équipement électrique faisant l’objet d’une sous-mesure ?</w:t>
      </w:r>
    </w:p>
    <w:p w14:paraId="66BE9004" w14:textId="473C0F3A" w:rsidR="002F496A" w:rsidRPr="00D55CD2" w:rsidRDefault="002F496A" w:rsidP="002B7E91">
      <w:pPr>
        <w:pStyle w:val="Paragraphedeliste"/>
        <w:numPr>
          <w:ilvl w:val="0"/>
          <w:numId w:val="3"/>
        </w:numPr>
        <w:jc w:val="both"/>
        <w:rPr>
          <w:rFonts w:ascii="Verdana" w:hAnsi="Verdana" w:cs="Arial"/>
          <w:i/>
          <w:color w:val="A5A5A5" w:themeColor="accent3"/>
          <w:sz w:val="20"/>
        </w:rPr>
      </w:pPr>
      <w:r w:rsidRPr="00D55CD2">
        <w:rPr>
          <w:rFonts w:ascii="Verdana" w:hAnsi="Verdana" w:cs="Arial"/>
          <w:i/>
          <w:color w:val="A5A5A5" w:themeColor="accent3"/>
          <w:sz w:val="20"/>
        </w:rPr>
        <w:t>Quel est son rythme de consommation nominal hors effacement</w:t>
      </w:r>
      <w:r w:rsidR="00CF67C5">
        <w:rPr>
          <w:rFonts w:ascii="Verdana" w:hAnsi="Verdana" w:cs="Arial"/>
          <w:i/>
          <w:color w:val="A5A5A5" w:themeColor="accent3"/>
          <w:sz w:val="20"/>
        </w:rPr>
        <w:t xml:space="preserve"> ? communiquer un profil de consommation estimatif ou </w:t>
      </w:r>
      <w:r w:rsidRPr="00D55CD2">
        <w:rPr>
          <w:rFonts w:ascii="Verdana" w:hAnsi="Verdana" w:cs="Arial"/>
          <w:i/>
          <w:color w:val="A5A5A5" w:themeColor="accent3"/>
          <w:sz w:val="20"/>
        </w:rPr>
        <w:t xml:space="preserve">fournir la courbe de charge sur </w:t>
      </w:r>
      <w:r w:rsidR="00CF67C5">
        <w:rPr>
          <w:rFonts w:ascii="Verdana" w:hAnsi="Verdana" w:cs="Arial"/>
          <w:i/>
          <w:color w:val="A5A5A5" w:themeColor="accent3"/>
          <w:sz w:val="20"/>
        </w:rPr>
        <w:t>les 12 derniers mois si déjà équipé d’un matériel de sous-mesure</w:t>
      </w:r>
    </w:p>
    <w:p w14:paraId="0813FFAF" w14:textId="74A4284C" w:rsidR="00FA4AD4" w:rsidRPr="00D55CD2" w:rsidRDefault="002F496A" w:rsidP="00FA4AD4">
      <w:pPr>
        <w:pStyle w:val="Paragraphedeliste"/>
        <w:numPr>
          <w:ilvl w:val="0"/>
          <w:numId w:val="3"/>
        </w:numPr>
        <w:jc w:val="both"/>
        <w:rPr>
          <w:rFonts w:ascii="Verdana" w:hAnsi="Verdana" w:cs="Arial"/>
          <w:i/>
          <w:color w:val="A5A5A5" w:themeColor="accent3"/>
          <w:sz w:val="20"/>
        </w:rPr>
      </w:pPr>
      <w:r w:rsidRPr="00D55CD2">
        <w:rPr>
          <w:rFonts w:ascii="Verdana" w:hAnsi="Verdana" w:cs="Arial"/>
          <w:i/>
          <w:color w:val="A5A5A5" w:themeColor="accent3"/>
          <w:sz w:val="20"/>
        </w:rPr>
        <w:lastRenderedPageBreak/>
        <w:t>Comment est-il prévu qu’il s’efface ? (interruption, Groupe Electrogène, autre ?)</w:t>
      </w:r>
    </w:p>
    <w:p w14:paraId="787E3771" w14:textId="77777777" w:rsidR="00FA4AD4" w:rsidRDefault="00FA4AD4" w:rsidP="00FA4AD4">
      <w:pPr>
        <w:pStyle w:val="Paragraphedeliste"/>
        <w:spacing w:before="480"/>
        <w:ind w:left="788"/>
        <w:jc w:val="both"/>
        <w:rPr>
          <w:rFonts w:ascii="Verdana" w:hAnsi="Verdana" w:cs="Arial"/>
          <w:sz w:val="20"/>
        </w:rPr>
      </w:pPr>
    </w:p>
    <w:p w14:paraId="63E9EF20" w14:textId="36DEA90A" w:rsidR="00FA4AD4" w:rsidRPr="00CD25E5" w:rsidRDefault="00FA4AD4" w:rsidP="00FA4AD4">
      <w:pPr>
        <w:pStyle w:val="Paragraphedeliste"/>
        <w:numPr>
          <w:ilvl w:val="1"/>
          <w:numId w:val="2"/>
        </w:numPr>
        <w:spacing w:before="480"/>
        <w:ind w:left="788" w:hanging="431"/>
        <w:jc w:val="both"/>
        <w:rPr>
          <w:rFonts w:ascii="Verdana" w:hAnsi="Verdana" w:cs="Arial"/>
          <w:sz w:val="20"/>
        </w:rPr>
      </w:pPr>
      <w:r>
        <w:rPr>
          <w:rFonts w:ascii="Verdana" w:hAnsi="Verdana" w:cs="Arial"/>
          <w:sz w:val="20"/>
        </w:rPr>
        <w:t>Quelle est la puissance effaçable maximale du périmètre de la sous-mesure</w:t>
      </w:r>
      <w:r w:rsidR="00783F12">
        <w:rPr>
          <w:rFonts w:ascii="Verdana" w:hAnsi="Verdana" w:cs="Arial"/>
          <w:sz w:val="20"/>
        </w:rPr>
        <w:t> ?</w:t>
      </w:r>
    </w:p>
    <w:p w14:paraId="55E72F5E" w14:textId="7AA9DC26" w:rsidR="008753F0" w:rsidRDefault="008753F0" w:rsidP="008753F0">
      <w:pPr>
        <w:pStyle w:val="Paragraphedeliste"/>
        <w:numPr>
          <w:ilvl w:val="1"/>
          <w:numId w:val="2"/>
        </w:numPr>
        <w:spacing w:before="360"/>
        <w:ind w:left="788" w:hanging="431"/>
        <w:contextualSpacing w:val="0"/>
        <w:jc w:val="both"/>
        <w:rPr>
          <w:rFonts w:ascii="Verdana" w:hAnsi="Verdana" w:cs="Arial"/>
          <w:sz w:val="20"/>
        </w:rPr>
      </w:pPr>
      <w:r>
        <w:rPr>
          <w:rFonts w:ascii="Verdana" w:hAnsi="Verdana" w:cs="Arial"/>
          <w:sz w:val="20"/>
        </w:rPr>
        <w:t xml:space="preserve">Description de l’intégration du périmètre sous-mesuré au sein </w:t>
      </w:r>
      <w:r w:rsidRPr="00927EEE">
        <w:rPr>
          <w:rFonts w:ascii="Verdana" w:hAnsi="Verdana" w:cs="Arial"/>
          <w:sz w:val="20"/>
        </w:rPr>
        <w:t xml:space="preserve">du </w:t>
      </w:r>
      <w:r w:rsidR="0041521E">
        <w:rPr>
          <w:rFonts w:ascii="Verdana" w:hAnsi="Verdana" w:cs="Arial"/>
          <w:sz w:val="20"/>
        </w:rPr>
        <w:t>site de soutirage</w:t>
      </w:r>
    </w:p>
    <w:p w14:paraId="21110A8F" w14:textId="476293AA" w:rsidR="008753F0" w:rsidRPr="00D55CD2" w:rsidRDefault="008753F0" w:rsidP="008753F0">
      <w:pPr>
        <w:spacing w:before="120"/>
        <w:jc w:val="both"/>
        <w:rPr>
          <w:rFonts w:ascii="Verdana" w:hAnsi="Verdana" w:cs="Arial"/>
          <w:i/>
          <w:color w:val="A5A5A5" w:themeColor="accent3"/>
          <w:sz w:val="20"/>
        </w:rPr>
      </w:pPr>
      <w:r w:rsidRPr="00D55CD2">
        <w:rPr>
          <w:rFonts w:ascii="Verdana" w:hAnsi="Verdana" w:cs="Arial"/>
          <w:i/>
          <w:color w:val="A5A5A5" w:themeColor="accent3"/>
          <w:sz w:val="20"/>
        </w:rPr>
        <w:t xml:space="preserve">Cette section doit décrire </w:t>
      </w:r>
      <w:r w:rsidR="0041521E" w:rsidRPr="00D55CD2">
        <w:rPr>
          <w:rFonts w:ascii="Verdana" w:hAnsi="Verdana" w:cs="Arial"/>
          <w:i/>
          <w:color w:val="A5A5A5" w:themeColor="accent3"/>
          <w:sz w:val="20"/>
        </w:rPr>
        <w:t xml:space="preserve">comment le périmètre de la sous-mesure </w:t>
      </w:r>
      <w:r w:rsidR="00D55CD2">
        <w:rPr>
          <w:rFonts w:ascii="Verdana" w:hAnsi="Verdana" w:cs="Arial"/>
          <w:i/>
          <w:color w:val="A5A5A5" w:themeColor="accent3"/>
          <w:sz w:val="20"/>
        </w:rPr>
        <w:t>est</w:t>
      </w:r>
      <w:r w:rsidR="0041521E" w:rsidRPr="00D55CD2">
        <w:rPr>
          <w:rFonts w:ascii="Verdana" w:hAnsi="Verdana" w:cs="Arial"/>
          <w:i/>
          <w:color w:val="A5A5A5" w:themeColor="accent3"/>
          <w:sz w:val="20"/>
        </w:rPr>
        <w:t xml:space="preserve"> intégré au sein du site de soutirage (existe-il des interdépendances de consommation électrique entre le périmètre et le reste du site de soutirage, description des équipements consommateurs d’électricité, etc.)</w:t>
      </w:r>
    </w:p>
    <w:p w14:paraId="2B97B4C6" w14:textId="2D1DF4AB" w:rsidR="0041521E" w:rsidRPr="00CF67C5" w:rsidRDefault="0041521E" w:rsidP="008753F0">
      <w:pPr>
        <w:pStyle w:val="Paragraphedeliste"/>
        <w:numPr>
          <w:ilvl w:val="0"/>
          <w:numId w:val="3"/>
        </w:numPr>
        <w:jc w:val="both"/>
        <w:rPr>
          <w:rFonts w:ascii="Verdana" w:hAnsi="Verdana" w:cs="Arial"/>
          <w:i/>
          <w:color w:val="A5A5A5" w:themeColor="accent3"/>
          <w:sz w:val="20"/>
        </w:rPr>
      </w:pPr>
      <w:r w:rsidRPr="00CF67C5">
        <w:rPr>
          <w:rFonts w:ascii="Verdana" w:hAnsi="Verdana" w:cs="Arial"/>
          <w:i/>
          <w:color w:val="A5A5A5" w:themeColor="accent3"/>
          <w:sz w:val="20"/>
        </w:rPr>
        <w:t>Recensement et m</w:t>
      </w:r>
      <w:r w:rsidR="008753F0" w:rsidRPr="00CF67C5">
        <w:rPr>
          <w:rFonts w:ascii="Verdana" w:hAnsi="Verdana" w:cs="Arial"/>
          <w:i/>
          <w:color w:val="A5A5A5" w:themeColor="accent3"/>
          <w:sz w:val="20"/>
        </w:rPr>
        <w:t xml:space="preserve">acro-schéma des équipements électriques du site </w:t>
      </w:r>
      <w:r w:rsidRPr="00CF67C5">
        <w:rPr>
          <w:rFonts w:ascii="Verdana" w:hAnsi="Verdana" w:cs="Arial"/>
          <w:i/>
          <w:color w:val="A5A5A5" w:themeColor="accent3"/>
          <w:sz w:val="20"/>
        </w:rPr>
        <w:t>indiquant le périmètre de la sous-mesure</w:t>
      </w:r>
    </w:p>
    <w:p w14:paraId="3E659318" w14:textId="77777777" w:rsidR="002F496A" w:rsidRPr="00927EEE" w:rsidRDefault="002F496A" w:rsidP="002F496A">
      <w:pPr>
        <w:pStyle w:val="Paragraphedeliste"/>
        <w:numPr>
          <w:ilvl w:val="1"/>
          <w:numId w:val="2"/>
        </w:numPr>
        <w:spacing w:before="360"/>
        <w:ind w:left="788" w:hanging="431"/>
        <w:contextualSpacing w:val="0"/>
        <w:jc w:val="both"/>
        <w:rPr>
          <w:rFonts w:ascii="Verdana" w:hAnsi="Verdana" w:cs="Arial"/>
          <w:sz w:val="20"/>
        </w:rPr>
      </w:pPr>
      <w:r w:rsidRPr="00927EEE">
        <w:rPr>
          <w:rFonts w:ascii="Verdana" w:hAnsi="Verdana" w:cs="Arial"/>
          <w:sz w:val="20"/>
        </w:rPr>
        <w:t>Motivation pour le recours à la sous-mesure sur le site</w:t>
      </w:r>
    </w:p>
    <w:p w14:paraId="07FEC3C2" w14:textId="1CD6CC1F" w:rsidR="002F496A" w:rsidRPr="00CF67C5" w:rsidRDefault="002F496A" w:rsidP="002B7E91">
      <w:pPr>
        <w:jc w:val="both"/>
        <w:rPr>
          <w:rFonts w:ascii="Verdana" w:hAnsi="Verdana" w:cs="Arial"/>
          <w:i/>
          <w:color w:val="A5A5A5" w:themeColor="accent3"/>
          <w:sz w:val="20"/>
        </w:rPr>
      </w:pPr>
      <w:r w:rsidRPr="00CF67C5">
        <w:rPr>
          <w:rFonts w:ascii="Verdana" w:hAnsi="Verdana" w:cs="Arial"/>
          <w:i/>
          <w:color w:val="A5A5A5" w:themeColor="accent3"/>
          <w:sz w:val="20"/>
        </w:rPr>
        <w:t>Cette section doit fournir les éléments de justification du recours à la sous-mesure, conformément à l’article 9.2.9.2.2 des règles NEBEF et à l’article R.271-6 du Code de l’énergie.</w:t>
      </w:r>
    </w:p>
    <w:p w14:paraId="52E7B840" w14:textId="4FAB42CE" w:rsidR="000F07CD" w:rsidRPr="00CF67C5" w:rsidRDefault="002F496A" w:rsidP="002B7E91">
      <w:pPr>
        <w:jc w:val="both"/>
        <w:rPr>
          <w:rFonts w:ascii="Verdana" w:hAnsi="Verdana"/>
          <w:i/>
          <w:color w:val="A5A5A5" w:themeColor="accent3"/>
          <w:sz w:val="20"/>
        </w:rPr>
      </w:pPr>
      <w:r w:rsidRPr="00CF67C5">
        <w:rPr>
          <w:rFonts w:ascii="Verdana" w:hAnsi="Verdana" w:cs="Arial"/>
          <w:i/>
          <w:color w:val="A5A5A5" w:themeColor="accent3"/>
          <w:sz w:val="20"/>
        </w:rPr>
        <w:t xml:space="preserve">Ce paragraphe devra fournir des éléments sur la puissance effaçable des usages effacés (qui sont dans le périmètre de la sous-mesure) et sur la variation naturelle (« bruit ») des autres usages au sein du site, permettant d’apprécier l’intérêt d’isoler la consommation des usages effaçables pour évaluer la puissance effacée (i.e. « contrôle du réalisé »). Si le site a déjà réalisé des effacements avant la transmission de ce dossier et que des données de sous-mesure sont disponibles, le dossier devra contenir des évaluations de l’effet d’une utilisation des données de « sous-mesure » sur des situations d’effacement passées.  </w:t>
      </w:r>
    </w:p>
    <w:p w14:paraId="11E08399" w14:textId="77777777" w:rsidR="002F496A" w:rsidRPr="00927EEE" w:rsidRDefault="002F496A" w:rsidP="002F496A">
      <w:pPr>
        <w:jc w:val="both"/>
        <w:rPr>
          <w:rFonts w:ascii="Verdana" w:hAnsi="Verdana" w:cs="Arial"/>
          <w:i/>
          <w:sz w:val="20"/>
        </w:rPr>
      </w:pPr>
    </w:p>
    <w:p w14:paraId="54473F8A" w14:textId="638D8D89" w:rsidR="00AD2FDC" w:rsidRDefault="002F496A" w:rsidP="00AD2FDC">
      <w:pPr>
        <w:pStyle w:val="Paragraphedeliste"/>
        <w:numPr>
          <w:ilvl w:val="1"/>
          <w:numId w:val="2"/>
        </w:numPr>
        <w:jc w:val="both"/>
        <w:rPr>
          <w:rFonts w:ascii="Verdana" w:hAnsi="Verdana" w:cs="Arial"/>
          <w:sz w:val="20"/>
        </w:rPr>
      </w:pPr>
      <w:r w:rsidRPr="00927EEE">
        <w:rPr>
          <w:rFonts w:ascii="Verdana" w:hAnsi="Verdana" w:cs="Arial"/>
          <w:sz w:val="20"/>
        </w:rPr>
        <w:t>L’effacement du périmètre faisant l’objet d’un</w:t>
      </w:r>
      <w:r w:rsidR="00881524">
        <w:rPr>
          <w:rFonts w:ascii="Verdana" w:hAnsi="Verdana" w:cs="Arial"/>
          <w:sz w:val="20"/>
        </w:rPr>
        <w:t>e sous-mesure</w:t>
      </w:r>
      <w:r w:rsidRPr="00927EEE">
        <w:rPr>
          <w:rFonts w:ascii="Verdana" w:hAnsi="Verdana" w:cs="Arial"/>
          <w:sz w:val="20"/>
        </w:rPr>
        <w:t xml:space="preserve"> peut-il occasionner une hausse de la consommation du reste du Point De Soutirage ?</w:t>
      </w:r>
    </w:p>
    <w:p w14:paraId="2DB4EF16" w14:textId="54E23CC8" w:rsidR="00AD2FDC" w:rsidRPr="00CF67C5" w:rsidRDefault="00AD2FDC" w:rsidP="00AD2FDC">
      <w:pPr>
        <w:jc w:val="both"/>
        <w:rPr>
          <w:rFonts w:ascii="Verdana" w:hAnsi="Verdana" w:cs="Arial"/>
          <w:i/>
          <w:color w:val="A5A5A5" w:themeColor="accent3"/>
          <w:sz w:val="20"/>
        </w:rPr>
      </w:pPr>
      <w:r w:rsidRPr="00CF67C5">
        <w:rPr>
          <w:rFonts w:ascii="Verdana" w:hAnsi="Verdana" w:cs="Arial"/>
          <w:i/>
          <w:color w:val="A5A5A5" w:themeColor="accent3"/>
          <w:sz w:val="20"/>
        </w:rPr>
        <w:t>Cette section doit fournir les éléments justificatifs sur le fait que le fonctionnement du site de soutirage en période d’effacement n’occasionne pas de compensation en dehors du périmètre de la sous-mesure.</w:t>
      </w:r>
    </w:p>
    <w:p w14:paraId="4BC41C81" w14:textId="2D9F5331" w:rsidR="002F496A" w:rsidRPr="00CF67C5" w:rsidRDefault="002F496A" w:rsidP="002F496A">
      <w:pPr>
        <w:pStyle w:val="Paragraphedeliste"/>
        <w:numPr>
          <w:ilvl w:val="0"/>
          <w:numId w:val="3"/>
        </w:numPr>
        <w:jc w:val="both"/>
        <w:rPr>
          <w:rFonts w:ascii="Verdana" w:hAnsi="Verdana" w:cs="Arial"/>
          <w:i/>
          <w:color w:val="A5A5A5" w:themeColor="accent3"/>
          <w:sz w:val="20"/>
        </w:rPr>
      </w:pPr>
      <w:r w:rsidRPr="00CF67C5">
        <w:rPr>
          <w:rFonts w:ascii="Verdana" w:hAnsi="Verdana" w:cs="Arial"/>
          <w:i/>
          <w:color w:val="A5A5A5" w:themeColor="accent3"/>
          <w:sz w:val="20"/>
        </w:rPr>
        <w:t>Equipement électrique redondé (report de l’équipement primaire vers l’équipement de secours</w:t>
      </w:r>
      <w:r w:rsidR="00AD2FDC" w:rsidRPr="00CF67C5">
        <w:rPr>
          <w:rFonts w:ascii="Verdana" w:hAnsi="Verdana" w:cs="Arial"/>
          <w:i/>
          <w:color w:val="A5A5A5" w:themeColor="accent3"/>
          <w:sz w:val="20"/>
        </w:rPr>
        <w:t>, si oui expliquer comment le risque de report est évité</w:t>
      </w:r>
      <w:r w:rsidRPr="00CF67C5">
        <w:rPr>
          <w:rFonts w:ascii="Verdana" w:hAnsi="Verdana" w:cs="Arial"/>
          <w:i/>
          <w:color w:val="A5A5A5" w:themeColor="accent3"/>
          <w:sz w:val="20"/>
        </w:rPr>
        <w:t>)</w:t>
      </w:r>
    </w:p>
    <w:p w14:paraId="3D865801" w14:textId="77777777" w:rsidR="002F496A" w:rsidRPr="00CF67C5" w:rsidRDefault="002F496A" w:rsidP="002F496A">
      <w:pPr>
        <w:pStyle w:val="Paragraphedeliste"/>
        <w:numPr>
          <w:ilvl w:val="0"/>
          <w:numId w:val="3"/>
        </w:numPr>
        <w:jc w:val="both"/>
        <w:rPr>
          <w:rFonts w:ascii="Verdana" w:hAnsi="Verdana" w:cs="Arial"/>
          <w:i/>
          <w:color w:val="A5A5A5" w:themeColor="accent3"/>
          <w:sz w:val="20"/>
        </w:rPr>
      </w:pPr>
      <w:r w:rsidRPr="00CF67C5">
        <w:rPr>
          <w:rFonts w:ascii="Verdana" w:hAnsi="Verdana" w:cs="Arial"/>
          <w:i/>
          <w:color w:val="A5A5A5" w:themeColor="accent3"/>
          <w:sz w:val="20"/>
        </w:rPr>
        <w:t>Report de l’activité depuis l’usage effacé vers un autre usage consommateur d’électricité</w:t>
      </w:r>
    </w:p>
    <w:p w14:paraId="65EB01B7" w14:textId="052FF475" w:rsidR="002F496A" w:rsidRDefault="002F496A" w:rsidP="002F496A">
      <w:pPr>
        <w:pStyle w:val="Paragraphedeliste"/>
        <w:numPr>
          <w:ilvl w:val="0"/>
          <w:numId w:val="3"/>
        </w:numPr>
        <w:jc w:val="both"/>
        <w:rPr>
          <w:rFonts w:ascii="Verdana" w:hAnsi="Verdana" w:cs="Arial"/>
          <w:i/>
          <w:color w:val="A5A5A5" w:themeColor="accent3"/>
          <w:sz w:val="20"/>
        </w:rPr>
      </w:pPr>
      <w:r w:rsidRPr="00CF67C5">
        <w:rPr>
          <w:rFonts w:ascii="Verdana" w:hAnsi="Verdana" w:cs="Arial"/>
          <w:i/>
          <w:color w:val="A5A5A5" w:themeColor="accent3"/>
          <w:sz w:val="20"/>
        </w:rPr>
        <w:t>Si l’usage effacé implique l’arrêt ou la réduction d’une activité humaine, décrire quelle sera l’activité des employés au cours de l’effacement</w:t>
      </w:r>
    </w:p>
    <w:p w14:paraId="1E74AD7C" w14:textId="77777777" w:rsidR="009464BE" w:rsidRPr="00927EEE" w:rsidRDefault="009464BE" w:rsidP="009464BE">
      <w:pPr>
        <w:jc w:val="both"/>
        <w:rPr>
          <w:rFonts w:ascii="Verdana" w:hAnsi="Verdana" w:cs="Arial"/>
          <w:i/>
          <w:sz w:val="20"/>
        </w:rPr>
      </w:pPr>
    </w:p>
    <w:p w14:paraId="7D303813" w14:textId="4A50C017" w:rsidR="009464BE" w:rsidRDefault="009464BE" w:rsidP="008C6677">
      <w:pPr>
        <w:pStyle w:val="Paragraphedeliste"/>
        <w:numPr>
          <w:ilvl w:val="1"/>
          <w:numId w:val="2"/>
        </w:numPr>
        <w:rPr>
          <w:rFonts w:ascii="Verdana" w:hAnsi="Verdana" w:cs="Arial"/>
          <w:sz w:val="20"/>
        </w:rPr>
      </w:pPr>
      <w:r w:rsidRPr="009464BE">
        <w:rPr>
          <w:rFonts w:ascii="Verdana" w:hAnsi="Verdana" w:cs="Arial"/>
          <w:sz w:val="20"/>
        </w:rPr>
        <w:t xml:space="preserve">Décrire le raccordement du dispositif de sous-mesure aux équipements ou usages </w:t>
      </w:r>
    </w:p>
    <w:p w14:paraId="25202838" w14:textId="5409913C" w:rsidR="009464BE" w:rsidRPr="003070F9" w:rsidRDefault="009464BE" w:rsidP="009464BE">
      <w:pPr>
        <w:jc w:val="both"/>
        <w:rPr>
          <w:rFonts w:ascii="Verdana" w:hAnsi="Verdana" w:cs="Arial"/>
          <w:i/>
          <w:color w:val="A5A5A5" w:themeColor="accent3"/>
          <w:sz w:val="20"/>
        </w:rPr>
      </w:pPr>
      <w:r w:rsidRPr="003070F9">
        <w:rPr>
          <w:rFonts w:ascii="Verdana" w:hAnsi="Verdana" w:cs="Arial"/>
          <w:i/>
          <w:color w:val="A5A5A5" w:themeColor="accent3"/>
          <w:sz w:val="20"/>
        </w:rPr>
        <w:t>En cas d’équipement ou usage alimenté électr</w:t>
      </w:r>
      <w:r w:rsidR="004B2453">
        <w:rPr>
          <w:rFonts w:ascii="Verdana" w:hAnsi="Verdana" w:cs="Arial"/>
          <w:i/>
          <w:color w:val="A5A5A5" w:themeColor="accent3"/>
          <w:sz w:val="20"/>
        </w:rPr>
        <w:t>iquement par plusieurs voies, la</w:t>
      </w:r>
      <w:r w:rsidRPr="003070F9">
        <w:rPr>
          <w:rFonts w:ascii="Verdana" w:hAnsi="Verdana" w:cs="Arial"/>
          <w:i/>
          <w:color w:val="A5A5A5" w:themeColor="accent3"/>
          <w:sz w:val="20"/>
        </w:rPr>
        <w:t xml:space="preserve"> sous-</w:t>
      </w:r>
      <w:r w:rsidR="004B2453">
        <w:rPr>
          <w:rFonts w:ascii="Verdana" w:hAnsi="Verdana" w:cs="Arial"/>
          <w:i/>
          <w:color w:val="A5A5A5" w:themeColor="accent3"/>
          <w:sz w:val="20"/>
        </w:rPr>
        <w:t>mesure</w:t>
      </w:r>
      <w:r w:rsidRPr="003070F9">
        <w:rPr>
          <w:rFonts w:ascii="Verdana" w:hAnsi="Verdana" w:cs="Arial"/>
          <w:i/>
          <w:color w:val="A5A5A5" w:themeColor="accent3"/>
          <w:sz w:val="20"/>
        </w:rPr>
        <w:t xml:space="preserve"> doit mesurer l’ensemble des voies.</w:t>
      </w:r>
    </w:p>
    <w:p w14:paraId="5DB3B699" w14:textId="77777777" w:rsidR="009464BE" w:rsidRPr="003070F9" w:rsidRDefault="009464BE" w:rsidP="009464BE">
      <w:pPr>
        <w:spacing w:after="0"/>
        <w:jc w:val="both"/>
        <w:rPr>
          <w:rFonts w:ascii="Verdana" w:hAnsi="Verdana" w:cs="Arial"/>
          <w:i/>
          <w:color w:val="A5A5A5" w:themeColor="accent3"/>
          <w:sz w:val="20"/>
        </w:rPr>
      </w:pPr>
      <w:r w:rsidRPr="003070F9">
        <w:rPr>
          <w:rFonts w:ascii="Verdana" w:hAnsi="Verdana" w:cs="Arial"/>
          <w:i/>
          <w:color w:val="A5A5A5" w:themeColor="accent3"/>
          <w:sz w:val="20"/>
        </w:rPr>
        <w:t>Cette description doit être accompagnée :</w:t>
      </w:r>
    </w:p>
    <w:p w14:paraId="5270E5A5" w14:textId="77777777" w:rsidR="009464BE" w:rsidRPr="003070F9" w:rsidRDefault="009464BE" w:rsidP="009464BE">
      <w:pPr>
        <w:pStyle w:val="Paragraphedeliste"/>
        <w:numPr>
          <w:ilvl w:val="0"/>
          <w:numId w:val="3"/>
        </w:numPr>
        <w:jc w:val="both"/>
        <w:rPr>
          <w:rFonts w:ascii="Verdana" w:hAnsi="Verdana" w:cs="Arial"/>
          <w:i/>
          <w:color w:val="A5A5A5" w:themeColor="accent3"/>
          <w:sz w:val="20"/>
        </w:rPr>
      </w:pPr>
      <w:r w:rsidRPr="003070F9">
        <w:rPr>
          <w:rFonts w:ascii="Verdana" w:hAnsi="Verdana" w:cs="Arial"/>
          <w:i/>
          <w:color w:val="A5A5A5" w:themeColor="accent3"/>
          <w:sz w:val="20"/>
        </w:rPr>
        <w:t>D’un schéma unifilaire sur lequel l’emplacement du dispositif de sous-mesure est indiqué ;</w:t>
      </w:r>
    </w:p>
    <w:p w14:paraId="2E0C909B" w14:textId="77777777" w:rsidR="004741D2" w:rsidRPr="00927EEE" w:rsidRDefault="004741D2" w:rsidP="004741D2">
      <w:pPr>
        <w:jc w:val="both"/>
        <w:rPr>
          <w:rFonts w:ascii="Verdana" w:hAnsi="Verdana" w:cs="Arial"/>
          <w:i/>
          <w:sz w:val="20"/>
        </w:rPr>
      </w:pPr>
    </w:p>
    <w:p w14:paraId="227BEC3D" w14:textId="77777777" w:rsidR="004B2453" w:rsidRDefault="004B2453">
      <w:pPr>
        <w:rPr>
          <w:rFonts w:ascii="Verdana" w:hAnsi="Verdana" w:cs="Arial"/>
          <w:b/>
          <w:sz w:val="20"/>
        </w:rPr>
      </w:pPr>
      <w:r>
        <w:rPr>
          <w:rFonts w:ascii="Verdana" w:hAnsi="Verdana" w:cs="Arial"/>
          <w:b/>
          <w:sz w:val="20"/>
        </w:rPr>
        <w:br w:type="page"/>
      </w:r>
    </w:p>
    <w:p w14:paraId="3314437B" w14:textId="38515022" w:rsidR="004741D2" w:rsidRPr="00927EEE" w:rsidRDefault="004741D2" w:rsidP="004741D2">
      <w:pPr>
        <w:pStyle w:val="Paragraphedeliste"/>
        <w:numPr>
          <w:ilvl w:val="0"/>
          <w:numId w:val="2"/>
        </w:numPr>
        <w:jc w:val="both"/>
        <w:rPr>
          <w:rFonts w:ascii="Verdana" w:hAnsi="Verdana" w:cs="Arial"/>
          <w:b/>
          <w:sz w:val="20"/>
        </w:rPr>
      </w:pPr>
      <w:r w:rsidRPr="00927EEE">
        <w:rPr>
          <w:rFonts w:ascii="Verdana" w:hAnsi="Verdana" w:cs="Arial"/>
          <w:b/>
          <w:sz w:val="20"/>
        </w:rPr>
        <w:lastRenderedPageBreak/>
        <w:t>Equipement de sous-</w:t>
      </w:r>
      <w:r w:rsidR="000600A3">
        <w:rPr>
          <w:rFonts w:ascii="Verdana" w:hAnsi="Verdana" w:cs="Arial"/>
          <w:b/>
          <w:sz w:val="20"/>
        </w:rPr>
        <w:t>mesure</w:t>
      </w:r>
    </w:p>
    <w:p w14:paraId="2B6D8FDD" w14:textId="77777777" w:rsidR="004741D2" w:rsidRDefault="004741D2" w:rsidP="00B65260">
      <w:pPr>
        <w:jc w:val="both"/>
        <w:rPr>
          <w:rFonts w:ascii="Verdana" w:hAnsi="Verdana" w:cs="Arial"/>
          <w:b/>
          <w:sz w:val="20"/>
        </w:rPr>
      </w:pPr>
    </w:p>
    <w:p w14:paraId="01DE7C43" w14:textId="42D433BC" w:rsidR="00B65260" w:rsidRDefault="00B65260" w:rsidP="00B65260">
      <w:pPr>
        <w:pStyle w:val="Paragraphedeliste"/>
        <w:numPr>
          <w:ilvl w:val="0"/>
          <w:numId w:val="9"/>
        </w:numPr>
        <w:jc w:val="both"/>
        <w:rPr>
          <w:rFonts w:ascii="Verdana" w:hAnsi="Verdana" w:cs="Arial"/>
          <w:b/>
          <w:sz w:val="20"/>
        </w:rPr>
      </w:pPr>
      <w:r>
        <w:rPr>
          <w:rFonts w:ascii="Verdana" w:hAnsi="Verdana" w:cs="Arial"/>
          <w:b/>
          <w:sz w:val="20"/>
        </w:rPr>
        <w:t>Le site de soutirage est équipé par un acteur externe qualifié pour la mise en place des dispositifs de sous-mesure</w:t>
      </w:r>
    </w:p>
    <w:p w14:paraId="79CE3CEB" w14:textId="77777777" w:rsidR="00B65260" w:rsidRPr="00B65260" w:rsidRDefault="00B65260" w:rsidP="00B65260">
      <w:pPr>
        <w:pStyle w:val="Paragraphedeliste"/>
        <w:jc w:val="both"/>
        <w:rPr>
          <w:rFonts w:ascii="Verdana" w:hAnsi="Verdana" w:cs="Arial"/>
          <w:b/>
          <w:i/>
          <w:sz w:val="20"/>
        </w:rPr>
      </w:pPr>
    </w:p>
    <w:p w14:paraId="7CCED3F1" w14:textId="3282E581" w:rsidR="00B65260" w:rsidRPr="00612D27" w:rsidRDefault="00B65260" w:rsidP="00B65260">
      <w:pPr>
        <w:pStyle w:val="Paragraphedeliste"/>
        <w:numPr>
          <w:ilvl w:val="0"/>
          <w:numId w:val="3"/>
        </w:numPr>
        <w:jc w:val="both"/>
        <w:rPr>
          <w:rFonts w:ascii="Verdana" w:hAnsi="Verdana" w:cs="Arial"/>
          <w:b/>
          <w:i/>
          <w:color w:val="A5A5A5" w:themeColor="accent3"/>
          <w:sz w:val="20"/>
        </w:rPr>
      </w:pPr>
      <w:r w:rsidRPr="00612D27">
        <w:rPr>
          <w:rFonts w:ascii="Verdana" w:hAnsi="Verdana" w:cs="Arial"/>
          <w:i/>
          <w:color w:val="A5A5A5" w:themeColor="accent3"/>
          <w:sz w:val="20"/>
        </w:rPr>
        <w:t>Préciser le nom de l’acteur</w:t>
      </w:r>
      <w:r w:rsidR="00660310" w:rsidRPr="00612D27">
        <w:rPr>
          <w:rFonts w:ascii="Verdana" w:hAnsi="Verdana" w:cs="Arial"/>
          <w:i/>
          <w:color w:val="A5A5A5" w:themeColor="accent3"/>
          <w:sz w:val="20"/>
        </w:rPr>
        <w:t xml:space="preserve"> externe</w:t>
      </w:r>
      <w:r w:rsidRPr="00612D27">
        <w:rPr>
          <w:rFonts w:ascii="Verdana" w:hAnsi="Verdana" w:cs="Arial"/>
          <w:i/>
          <w:color w:val="A5A5A5" w:themeColor="accent3"/>
          <w:sz w:val="20"/>
        </w:rPr>
        <w:t xml:space="preserve"> et la nature de la prestation </w:t>
      </w:r>
    </w:p>
    <w:p w14:paraId="57A02264" w14:textId="49614FEA" w:rsidR="00B65260" w:rsidRPr="00612D27" w:rsidRDefault="00B65260" w:rsidP="00B65260">
      <w:pPr>
        <w:pStyle w:val="Paragraphedeliste"/>
        <w:numPr>
          <w:ilvl w:val="0"/>
          <w:numId w:val="3"/>
        </w:numPr>
        <w:jc w:val="both"/>
        <w:rPr>
          <w:rFonts w:ascii="Verdana" w:hAnsi="Verdana" w:cs="Arial"/>
          <w:b/>
          <w:i/>
          <w:color w:val="A5A5A5" w:themeColor="accent3"/>
          <w:sz w:val="20"/>
        </w:rPr>
      </w:pPr>
      <w:r w:rsidRPr="00612D27">
        <w:rPr>
          <w:rFonts w:ascii="Verdana" w:hAnsi="Verdana" w:cs="Arial"/>
          <w:i/>
          <w:color w:val="A5A5A5" w:themeColor="accent3"/>
          <w:sz w:val="20"/>
        </w:rPr>
        <w:t xml:space="preserve">Fournir le document contractuel (PV de réception, facture) de la prestation (la mention du nom du site de soutirage doit figurer) </w:t>
      </w:r>
    </w:p>
    <w:p w14:paraId="7D19EA5D" w14:textId="77777777" w:rsidR="00B65260" w:rsidRDefault="00B65260" w:rsidP="00B65260">
      <w:pPr>
        <w:jc w:val="both"/>
        <w:rPr>
          <w:rFonts w:ascii="Verdana" w:hAnsi="Verdana" w:cs="Arial"/>
          <w:b/>
          <w:i/>
          <w:sz w:val="20"/>
        </w:rPr>
      </w:pPr>
    </w:p>
    <w:p w14:paraId="6C1BFDC9" w14:textId="714ED507" w:rsidR="00B65260" w:rsidRDefault="00B65260" w:rsidP="00B65260">
      <w:pPr>
        <w:pStyle w:val="Paragraphedeliste"/>
        <w:numPr>
          <w:ilvl w:val="0"/>
          <w:numId w:val="9"/>
        </w:numPr>
        <w:jc w:val="both"/>
        <w:rPr>
          <w:rFonts w:ascii="Verdana" w:hAnsi="Verdana" w:cs="Arial"/>
          <w:b/>
          <w:sz w:val="20"/>
        </w:rPr>
      </w:pPr>
      <w:r>
        <w:rPr>
          <w:rFonts w:ascii="Verdana" w:hAnsi="Verdana" w:cs="Arial"/>
          <w:b/>
          <w:sz w:val="20"/>
        </w:rPr>
        <w:t>Le site de soutirage n’est pas équipé par un acteur externe qualifié pour la mise en place des dispositifs de sous-mesure</w:t>
      </w:r>
    </w:p>
    <w:p w14:paraId="68EB0330" w14:textId="6E573B89" w:rsidR="00FA4AD4" w:rsidRPr="00612D27" w:rsidRDefault="00FA4AD4" w:rsidP="008C6677">
      <w:pPr>
        <w:jc w:val="both"/>
        <w:rPr>
          <w:rFonts w:ascii="Verdana" w:hAnsi="Verdana" w:cs="Arial"/>
          <w:i/>
          <w:color w:val="A5A5A5" w:themeColor="accent3"/>
          <w:sz w:val="20"/>
        </w:rPr>
      </w:pPr>
      <w:r w:rsidRPr="00612D27">
        <w:rPr>
          <w:rFonts w:ascii="Verdana" w:hAnsi="Verdana" w:cs="Arial"/>
          <w:i/>
          <w:color w:val="A5A5A5" w:themeColor="accent3"/>
          <w:sz w:val="20"/>
        </w:rPr>
        <w:t>Cette section n’est pas requise si le site de soutirage est dans le cas a.</w:t>
      </w:r>
    </w:p>
    <w:p w14:paraId="4F51D3EE" w14:textId="77777777" w:rsidR="00B65260" w:rsidRPr="00B65260" w:rsidRDefault="00B65260" w:rsidP="00B65260">
      <w:pPr>
        <w:jc w:val="both"/>
        <w:rPr>
          <w:rFonts w:ascii="Verdana" w:hAnsi="Verdana" w:cs="Arial"/>
          <w:b/>
          <w:sz w:val="20"/>
        </w:rPr>
      </w:pPr>
    </w:p>
    <w:p w14:paraId="7E57E9FA" w14:textId="3E1D9B59" w:rsidR="00D717BB" w:rsidRDefault="00FC34BF" w:rsidP="004741D2">
      <w:pPr>
        <w:pStyle w:val="Paragraphedeliste"/>
        <w:numPr>
          <w:ilvl w:val="1"/>
          <w:numId w:val="2"/>
        </w:numPr>
        <w:jc w:val="both"/>
        <w:rPr>
          <w:rFonts w:ascii="Verdana" w:hAnsi="Verdana" w:cs="Arial"/>
          <w:sz w:val="20"/>
        </w:rPr>
      </w:pPr>
      <w:r>
        <w:rPr>
          <w:rFonts w:ascii="Verdana" w:hAnsi="Verdana" w:cs="Arial"/>
          <w:sz w:val="20"/>
        </w:rPr>
        <w:t>Documentation</w:t>
      </w:r>
      <w:r w:rsidR="00D717BB">
        <w:rPr>
          <w:rFonts w:ascii="Verdana" w:hAnsi="Verdana" w:cs="Arial"/>
          <w:sz w:val="20"/>
        </w:rPr>
        <w:t xml:space="preserve"> de la chaine de mesure du site de soutirage </w:t>
      </w:r>
    </w:p>
    <w:p w14:paraId="1F99DCFD" w14:textId="16183E52" w:rsidR="00D717BB" w:rsidRPr="00612D27" w:rsidRDefault="00D717BB" w:rsidP="00D717BB">
      <w:pPr>
        <w:pStyle w:val="Paragraphedeliste"/>
        <w:numPr>
          <w:ilvl w:val="0"/>
          <w:numId w:val="3"/>
        </w:numPr>
        <w:jc w:val="both"/>
        <w:rPr>
          <w:rFonts w:ascii="Verdana" w:hAnsi="Verdana" w:cs="Arial"/>
          <w:i/>
          <w:color w:val="A5A5A5" w:themeColor="accent3"/>
          <w:sz w:val="20"/>
        </w:rPr>
      </w:pPr>
      <w:r w:rsidRPr="00612D27">
        <w:rPr>
          <w:rFonts w:ascii="Verdana" w:hAnsi="Verdana" w:cs="Arial"/>
          <w:i/>
          <w:color w:val="A5A5A5" w:themeColor="accent3"/>
          <w:sz w:val="20"/>
        </w:rPr>
        <w:t>Fournir la description technique et fonctionnelle de chaque composante de la chaine de mesure (matériel de sous-mesure et ses composa</w:t>
      </w:r>
      <w:r w:rsidR="000600A3" w:rsidRPr="00612D27">
        <w:rPr>
          <w:rFonts w:ascii="Verdana" w:hAnsi="Verdana" w:cs="Arial"/>
          <w:i/>
          <w:color w:val="A5A5A5" w:themeColor="accent3"/>
          <w:sz w:val="20"/>
        </w:rPr>
        <w:t xml:space="preserve">ntes et </w:t>
      </w:r>
      <w:r w:rsidRPr="00612D27">
        <w:rPr>
          <w:rFonts w:ascii="Verdana" w:hAnsi="Verdana" w:cs="Arial"/>
          <w:i/>
          <w:color w:val="A5A5A5" w:themeColor="accent3"/>
          <w:sz w:val="20"/>
        </w:rPr>
        <w:t>interface avec la chaîne d’acquisition de l’Opérateur d’Effacement)</w:t>
      </w:r>
    </w:p>
    <w:p w14:paraId="63EC42B0" w14:textId="79C73473" w:rsidR="00B65260" w:rsidRPr="00612D27" w:rsidRDefault="00B65260" w:rsidP="00B65260">
      <w:pPr>
        <w:pStyle w:val="Paragraphedeliste"/>
        <w:numPr>
          <w:ilvl w:val="1"/>
          <w:numId w:val="3"/>
        </w:numPr>
        <w:jc w:val="both"/>
        <w:rPr>
          <w:rFonts w:ascii="Verdana" w:hAnsi="Verdana" w:cs="Arial"/>
          <w:i/>
          <w:color w:val="A5A5A5" w:themeColor="accent3"/>
          <w:sz w:val="20"/>
        </w:rPr>
      </w:pPr>
      <w:r w:rsidRPr="00612D27">
        <w:rPr>
          <w:rFonts w:ascii="Verdana" w:hAnsi="Verdana" w:cs="Arial"/>
          <w:i/>
          <w:color w:val="A5A5A5" w:themeColor="accent3"/>
          <w:sz w:val="20"/>
        </w:rPr>
        <w:t xml:space="preserve">Architecture technique </w:t>
      </w:r>
    </w:p>
    <w:p w14:paraId="6A3409CC" w14:textId="763B682E" w:rsidR="00B65260" w:rsidRPr="00612D27" w:rsidRDefault="00B65260" w:rsidP="00B65260">
      <w:pPr>
        <w:pStyle w:val="Paragraphedeliste"/>
        <w:numPr>
          <w:ilvl w:val="1"/>
          <w:numId w:val="3"/>
        </w:numPr>
        <w:jc w:val="both"/>
        <w:rPr>
          <w:rFonts w:ascii="Verdana" w:hAnsi="Verdana" w:cs="Arial"/>
          <w:i/>
          <w:color w:val="A5A5A5" w:themeColor="accent3"/>
          <w:sz w:val="20"/>
        </w:rPr>
      </w:pPr>
      <w:r w:rsidRPr="00612D27">
        <w:rPr>
          <w:rFonts w:ascii="Verdana" w:hAnsi="Verdana" w:cs="Arial"/>
          <w:i/>
          <w:color w:val="A5A5A5" w:themeColor="accent3"/>
          <w:sz w:val="20"/>
        </w:rPr>
        <w:t>Fonctions associées à chaque composant du système</w:t>
      </w:r>
    </w:p>
    <w:p w14:paraId="7750CF2D" w14:textId="07ED47E2" w:rsidR="00D717BB" w:rsidRPr="00612D27" w:rsidRDefault="00D717BB" w:rsidP="00D717BB">
      <w:pPr>
        <w:pStyle w:val="Paragraphedeliste"/>
        <w:numPr>
          <w:ilvl w:val="0"/>
          <w:numId w:val="3"/>
        </w:numPr>
        <w:jc w:val="both"/>
        <w:rPr>
          <w:rFonts w:ascii="Verdana" w:hAnsi="Verdana" w:cs="Arial"/>
          <w:color w:val="A5A5A5" w:themeColor="accent3"/>
          <w:sz w:val="18"/>
        </w:rPr>
      </w:pPr>
      <w:r w:rsidRPr="00612D27">
        <w:rPr>
          <w:rFonts w:ascii="Verdana" w:hAnsi="Verdana"/>
          <w:i/>
          <w:color w:val="A5A5A5" w:themeColor="accent3"/>
          <w:sz w:val="20"/>
        </w:rPr>
        <w:t>Fournir la documentation associée</w:t>
      </w:r>
    </w:p>
    <w:p w14:paraId="6CBFAA5A" w14:textId="77777777" w:rsidR="00D717BB" w:rsidRDefault="00D717BB" w:rsidP="00D717BB">
      <w:pPr>
        <w:pStyle w:val="Paragraphedeliste"/>
        <w:ind w:left="792"/>
        <w:jc w:val="both"/>
        <w:rPr>
          <w:rFonts w:ascii="Verdana" w:hAnsi="Verdana" w:cs="Arial"/>
          <w:sz w:val="20"/>
        </w:rPr>
      </w:pPr>
    </w:p>
    <w:p w14:paraId="10DD88B1" w14:textId="77777777" w:rsidR="00FC34BF" w:rsidRDefault="00FC34BF" w:rsidP="00D717BB">
      <w:pPr>
        <w:pStyle w:val="Paragraphedeliste"/>
        <w:ind w:left="792"/>
        <w:jc w:val="both"/>
        <w:rPr>
          <w:rFonts w:ascii="Verdana" w:hAnsi="Verdana" w:cs="Arial"/>
          <w:sz w:val="20"/>
        </w:rPr>
      </w:pPr>
    </w:p>
    <w:p w14:paraId="0D636A8A" w14:textId="136E5DA7" w:rsidR="00FC34BF" w:rsidRDefault="00273B64" w:rsidP="00FC34BF">
      <w:pPr>
        <w:pStyle w:val="Paragraphedeliste"/>
        <w:numPr>
          <w:ilvl w:val="1"/>
          <w:numId w:val="2"/>
        </w:numPr>
        <w:jc w:val="both"/>
        <w:rPr>
          <w:rFonts w:ascii="Verdana" w:hAnsi="Verdana" w:cs="Arial"/>
          <w:sz w:val="20"/>
        </w:rPr>
      </w:pPr>
      <w:r>
        <w:rPr>
          <w:rFonts w:ascii="Verdana" w:hAnsi="Verdana" w:cs="Arial"/>
          <w:sz w:val="20"/>
        </w:rPr>
        <w:t xml:space="preserve">Documentation des tests fonctionnels </w:t>
      </w:r>
      <w:r w:rsidR="00847910">
        <w:rPr>
          <w:rFonts w:ascii="Verdana" w:hAnsi="Verdana" w:cs="Arial"/>
          <w:sz w:val="20"/>
        </w:rPr>
        <w:t xml:space="preserve">de mise en service </w:t>
      </w:r>
      <w:r>
        <w:rPr>
          <w:rFonts w:ascii="Verdana" w:hAnsi="Verdana" w:cs="Arial"/>
          <w:sz w:val="20"/>
        </w:rPr>
        <w:t xml:space="preserve">des composants de la chaine de mesure </w:t>
      </w:r>
    </w:p>
    <w:p w14:paraId="59F5EE7B" w14:textId="0C0B9B33" w:rsidR="00273B64" w:rsidRPr="00612D27" w:rsidRDefault="00273B64" w:rsidP="00FE4F59">
      <w:pPr>
        <w:pStyle w:val="Paragraphedeliste"/>
        <w:numPr>
          <w:ilvl w:val="0"/>
          <w:numId w:val="3"/>
        </w:numPr>
        <w:jc w:val="both"/>
        <w:rPr>
          <w:rFonts w:ascii="Verdana" w:hAnsi="Verdana" w:cs="Arial"/>
          <w:i/>
          <w:color w:val="A5A5A5" w:themeColor="accent3"/>
          <w:sz w:val="20"/>
        </w:rPr>
      </w:pPr>
      <w:r w:rsidRPr="00612D27">
        <w:rPr>
          <w:rFonts w:ascii="Verdana" w:hAnsi="Verdana" w:cs="Arial"/>
          <w:i/>
          <w:color w:val="A5A5A5" w:themeColor="accent3"/>
          <w:sz w:val="20"/>
        </w:rPr>
        <w:t xml:space="preserve">Description de la procédure de vérification fonctionnelle </w:t>
      </w:r>
      <w:r w:rsidR="00847910">
        <w:rPr>
          <w:rFonts w:ascii="Verdana" w:hAnsi="Verdana" w:cs="Arial"/>
          <w:i/>
          <w:color w:val="A5A5A5" w:themeColor="accent3"/>
          <w:sz w:val="20"/>
        </w:rPr>
        <w:t xml:space="preserve">de mise en service </w:t>
      </w:r>
      <w:r w:rsidRPr="00612D27">
        <w:rPr>
          <w:rFonts w:ascii="Verdana" w:hAnsi="Verdana" w:cs="Arial"/>
          <w:i/>
          <w:color w:val="A5A5A5" w:themeColor="accent3"/>
          <w:sz w:val="20"/>
        </w:rPr>
        <w:t>de chaque équipement de la chaine de mesure ;</w:t>
      </w:r>
    </w:p>
    <w:p w14:paraId="6312416D" w14:textId="344DAA9A" w:rsidR="00273B64" w:rsidRPr="00612D27" w:rsidRDefault="00273B64" w:rsidP="00273B64">
      <w:pPr>
        <w:pStyle w:val="Paragraphedeliste"/>
        <w:numPr>
          <w:ilvl w:val="0"/>
          <w:numId w:val="3"/>
        </w:numPr>
        <w:jc w:val="both"/>
        <w:rPr>
          <w:rFonts w:ascii="Verdana" w:hAnsi="Verdana" w:cs="Arial"/>
          <w:i/>
          <w:color w:val="A5A5A5" w:themeColor="accent3"/>
          <w:sz w:val="20"/>
        </w:rPr>
      </w:pPr>
      <w:r w:rsidRPr="00612D27">
        <w:rPr>
          <w:rFonts w:ascii="Verdana" w:hAnsi="Verdana" w:cs="Arial"/>
          <w:i/>
          <w:color w:val="A5A5A5" w:themeColor="accent3"/>
          <w:sz w:val="20"/>
        </w:rPr>
        <w:t xml:space="preserve">Description de la procédure de vérification fonctionnelle </w:t>
      </w:r>
      <w:r w:rsidR="00847910">
        <w:rPr>
          <w:rFonts w:ascii="Verdana" w:hAnsi="Verdana" w:cs="Arial"/>
          <w:i/>
          <w:color w:val="A5A5A5" w:themeColor="accent3"/>
          <w:sz w:val="20"/>
        </w:rPr>
        <w:t xml:space="preserve">de mise en service </w:t>
      </w:r>
      <w:r w:rsidRPr="00612D27">
        <w:rPr>
          <w:rFonts w:ascii="Verdana" w:hAnsi="Verdana" w:cs="Arial"/>
          <w:i/>
          <w:color w:val="A5A5A5" w:themeColor="accent3"/>
          <w:sz w:val="20"/>
        </w:rPr>
        <w:t>de l’ensemble de la chaine de mesure ;</w:t>
      </w:r>
    </w:p>
    <w:p w14:paraId="1DD19C3C" w14:textId="22969CD4" w:rsidR="00FC34BF" w:rsidRPr="00612D27" w:rsidRDefault="00273B64" w:rsidP="00273B64">
      <w:pPr>
        <w:pStyle w:val="Paragraphedeliste"/>
        <w:numPr>
          <w:ilvl w:val="0"/>
          <w:numId w:val="3"/>
        </w:numPr>
        <w:jc w:val="both"/>
        <w:rPr>
          <w:rFonts w:ascii="Verdana" w:hAnsi="Verdana" w:cs="Arial"/>
          <w:color w:val="A5A5A5" w:themeColor="accent3"/>
          <w:sz w:val="20"/>
        </w:rPr>
      </w:pPr>
      <w:r w:rsidRPr="00612D27">
        <w:rPr>
          <w:rFonts w:ascii="Verdana" w:hAnsi="Verdana" w:cs="Arial"/>
          <w:i/>
          <w:color w:val="A5A5A5" w:themeColor="accent3"/>
          <w:sz w:val="20"/>
        </w:rPr>
        <w:t xml:space="preserve">Preuve et résultats </w:t>
      </w:r>
      <w:r w:rsidR="00631449" w:rsidRPr="00612D27">
        <w:rPr>
          <w:rFonts w:ascii="Verdana" w:hAnsi="Verdana" w:cs="Arial"/>
          <w:i/>
          <w:color w:val="A5A5A5" w:themeColor="accent3"/>
          <w:sz w:val="20"/>
        </w:rPr>
        <w:t xml:space="preserve">positifs </w:t>
      </w:r>
      <w:r w:rsidRPr="00612D27">
        <w:rPr>
          <w:rFonts w:ascii="Verdana" w:hAnsi="Verdana" w:cs="Arial"/>
          <w:i/>
          <w:color w:val="A5A5A5" w:themeColor="accent3"/>
          <w:sz w:val="20"/>
        </w:rPr>
        <w:t xml:space="preserve">des tests fonctionnels </w:t>
      </w:r>
      <w:r w:rsidR="00847910">
        <w:rPr>
          <w:rFonts w:ascii="Verdana" w:hAnsi="Verdana" w:cs="Arial"/>
          <w:i/>
          <w:color w:val="A5A5A5" w:themeColor="accent3"/>
          <w:sz w:val="20"/>
        </w:rPr>
        <w:t>de mise en service</w:t>
      </w:r>
    </w:p>
    <w:p w14:paraId="198882A6" w14:textId="77777777" w:rsidR="00D717BB" w:rsidRDefault="00D717BB" w:rsidP="00D717BB">
      <w:pPr>
        <w:pStyle w:val="Paragraphedeliste"/>
        <w:ind w:left="792"/>
        <w:jc w:val="both"/>
        <w:rPr>
          <w:rFonts w:ascii="Verdana" w:hAnsi="Verdana" w:cs="Arial"/>
          <w:sz w:val="20"/>
        </w:rPr>
      </w:pPr>
    </w:p>
    <w:p w14:paraId="2534E462" w14:textId="0561FDE4" w:rsidR="004741D2" w:rsidRPr="00927EEE" w:rsidRDefault="00660310" w:rsidP="004741D2">
      <w:pPr>
        <w:pStyle w:val="Paragraphedeliste"/>
        <w:numPr>
          <w:ilvl w:val="1"/>
          <w:numId w:val="2"/>
        </w:numPr>
        <w:jc w:val="both"/>
        <w:rPr>
          <w:rFonts w:ascii="Verdana" w:hAnsi="Verdana" w:cs="Arial"/>
          <w:sz w:val="20"/>
        </w:rPr>
      </w:pPr>
      <w:r>
        <w:rPr>
          <w:rFonts w:ascii="Verdana" w:hAnsi="Verdana" w:cs="Arial"/>
          <w:sz w:val="20"/>
        </w:rPr>
        <w:t>Indiquer</w:t>
      </w:r>
      <w:r w:rsidR="004741D2" w:rsidRPr="00927EEE">
        <w:rPr>
          <w:rFonts w:ascii="Verdana" w:hAnsi="Verdana" w:cs="Arial"/>
          <w:sz w:val="20"/>
        </w:rPr>
        <w:t xml:space="preserve"> </w:t>
      </w:r>
      <w:r w:rsidR="002F496A">
        <w:rPr>
          <w:rFonts w:ascii="Verdana" w:hAnsi="Verdana" w:cs="Arial"/>
          <w:sz w:val="20"/>
        </w:rPr>
        <w:t>le modèle et les caractéristiques du</w:t>
      </w:r>
      <w:r w:rsidR="004741D2" w:rsidRPr="00927EEE">
        <w:rPr>
          <w:rFonts w:ascii="Verdana" w:hAnsi="Verdana" w:cs="Arial"/>
          <w:sz w:val="20"/>
        </w:rPr>
        <w:t xml:space="preserve"> matériel </w:t>
      </w:r>
      <w:r w:rsidR="002F496A">
        <w:rPr>
          <w:rFonts w:ascii="Verdana" w:hAnsi="Verdana" w:cs="Arial"/>
          <w:sz w:val="20"/>
        </w:rPr>
        <w:t>de sous-mesure posé</w:t>
      </w:r>
      <w:r w:rsidR="004741D2" w:rsidRPr="00927EEE">
        <w:rPr>
          <w:rFonts w:ascii="Verdana" w:hAnsi="Verdana" w:cs="Arial"/>
          <w:sz w:val="20"/>
        </w:rPr>
        <w:t xml:space="preserve"> </w:t>
      </w:r>
    </w:p>
    <w:p w14:paraId="792A47EF" w14:textId="3B54CB6A" w:rsidR="004741D2" w:rsidRPr="008C6677" w:rsidRDefault="004741D2">
      <w:pPr>
        <w:pStyle w:val="Paragraphedeliste"/>
        <w:numPr>
          <w:ilvl w:val="0"/>
          <w:numId w:val="3"/>
        </w:numPr>
        <w:jc w:val="both"/>
        <w:rPr>
          <w:rFonts w:ascii="Verdana" w:hAnsi="Verdana" w:cs="Arial"/>
          <w:i/>
          <w:color w:val="A5A5A5" w:themeColor="accent3"/>
          <w:sz w:val="20"/>
        </w:rPr>
      </w:pPr>
      <w:r w:rsidRPr="008C6677">
        <w:rPr>
          <w:rFonts w:ascii="Verdana" w:hAnsi="Verdana" w:cs="Arial"/>
          <w:i/>
          <w:color w:val="A5A5A5" w:themeColor="accent3"/>
          <w:sz w:val="20"/>
        </w:rPr>
        <w:t>Référence d</w:t>
      </w:r>
      <w:r w:rsidR="0042291D" w:rsidRPr="008C6677">
        <w:rPr>
          <w:rFonts w:ascii="Verdana" w:hAnsi="Verdana" w:cs="Arial"/>
          <w:i/>
          <w:color w:val="A5A5A5" w:themeColor="accent3"/>
          <w:sz w:val="20"/>
        </w:rPr>
        <w:t>es</w:t>
      </w:r>
      <w:r w:rsidRPr="008C6677">
        <w:rPr>
          <w:rFonts w:ascii="Verdana" w:hAnsi="Verdana" w:cs="Arial"/>
          <w:i/>
          <w:color w:val="A5A5A5" w:themeColor="accent3"/>
          <w:sz w:val="20"/>
        </w:rPr>
        <w:t xml:space="preserve"> modèle</w:t>
      </w:r>
      <w:r w:rsidR="0042291D" w:rsidRPr="008C6677">
        <w:rPr>
          <w:rFonts w:ascii="Verdana" w:hAnsi="Verdana" w:cs="Arial"/>
          <w:i/>
          <w:color w:val="A5A5A5" w:themeColor="accent3"/>
          <w:sz w:val="20"/>
        </w:rPr>
        <w:t>s</w:t>
      </w:r>
      <w:r w:rsidRPr="008C6677">
        <w:rPr>
          <w:rFonts w:ascii="Verdana" w:hAnsi="Verdana" w:cs="Arial"/>
          <w:i/>
          <w:color w:val="A5A5A5" w:themeColor="accent3"/>
          <w:sz w:val="20"/>
        </w:rPr>
        <w:t xml:space="preserve"> </w:t>
      </w:r>
      <w:r w:rsidR="0042291D" w:rsidRPr="008C6677">
        <w:rPr>
          <w:rFonts w:ascii="Verdana" w:hAnsi="Verdana" w:cs="Arial"/>
          <w:i/>
          <w:color w:val="A5A5A5" w:themeColor="accent3"/>
          <w:sz w:val="20"/>
        </w:rPr>
        <w:t>et précision de la chaine de sous-mesure</w:t>
      </w:r>
    </w:p>
    <w:p w14:paraId="062DF00E" w14:textId="02822EC3" w:rsidR="00660310" w:rsidRPr="008C6677" w:rsidRDefault="00660310">
      <w:pPr>
        <w:pStyle w:val="Paragraphedeliste"/>
        <w:numPr>
          <w:ilvl w:val="0"/>
          <w:numId w:val="3"/>
        </w:numPr>
        <w:jc w:val="both"/>
        <w:rPr>
          <w:rFonts w:ascii="Verdana" w:hAnsi="Verdana" w:cs="Arial"/>
          <w:i/>
          <w:color w:val="A5A5A5" w:themeColor="accent3"/>
          <w:sz w:val="20"/>
        </w:rPr>
      </w:pPr>
      <w:r w:rsidRPr="008C6677">
        <w:rPr>
          <w:rFonts w:ascii="Verdana" w:hAnsi="Verdana" w:cs="Arial"/>
          <w:i/>
          <w:color w:val="A5A5A5" w:themeColor="accent3"/>
          <w:sz w:val="20"/>
        </w:rPr>
        <w:t xml:space="preserve">Preuve de la conformité </w:t>
      </w:r>
      <w:r w:rsidR="00847910">
        <w:rPr>
          <w:rFonts w:ascii="Verdana" w:hAnsi="Verdana" w:cs="Arial"/>
          <w:i/>
          <w:color w:val="A5A5A5" w:themeColor="accent3"/>
          <w:sz w:val="20"/>
        </w:rPr>
        <w:t xml:space="preserve">du matériel (compteur et éventuels transformateurs de courant, tension ou combinés de mesure) avec les exigences techniques (normes et précisions de mesure) des règles NEBEF </w:t>
      </w:r>
    </w:p>
    <w:p w14:paraId="66168ED6" w14:textId="178DBA5B" w:rsidR="004741D2" w:rsidRPr="008C6677" w:rsidRDefault="004741D2" w:rsidP="004741D2">
      <w:pPr>
        <w:pStyle w:val="Paragraphedeliste"/>
        <w:numPr>
          <w:ilvl w:val="0"/>
          <w:numId w:val="3"/>
        </w:numPr>
        <w:jc w:val="both"/>
        <w:rPr>
          <w:rFonts w:ascii="Verdana" w:hAnsi="Verdana" w:cs="Arial"/>
          <w:i/>
          <w:color w:val="A5A5A5" w:themeColor="accent3"/>
          <w:sz w:val="20"/>
        </w:rPr>
      </w:pPr>
      <w:r w:rsidRPr="008C6677">
        <w:rPr>
          <w:rFonts w:ascii="Verdana" w:hAnsi="Verdana" w:cs="Arial"/>
          <w:i/>
          <w:color w:val="A5A5A5" w:themeColor="accent3"/>
          <w:sz w:val="20"/>
        </w:rPr>
        <w:t>Fournir un justificati</w:t>
      </w:r>
      <w:r w:rsidR="00A967DD" w:rsidRPr="008C6677">
        <w:rPr>
          <w:rFonts w:ascii="Verdana" w:hAnsi="Verdana" w:cs="Arial"/>
          <w:i/>
          <w:color w:val="A5A5A5" w:themeColor="accent3"/>
          <w:sz w:val="20"/>
        </w:rPr>
        <w:t>f (facture</w:t>
      </w:r>
      <w:r w:rsidR="000600A3" w:rsidRPr="008C6677">
        <w:rPr>
          <w:rFonts w:ascii="Verdana" w:hAnsi="Verdana" w:cs="Arial"/>
          <w:i/>
          <w:color w:val="A5A5A5" w:themeColor="accent3"/>
          <w:sz w:val="20"/>
        </w:rPr>
        <w:t xml:space="preserve"> et photo, PV de mise en service</w:t>
      </w:r>
      <w:r w:rsidR="00A967DD" w:rsidRPr="008C6677">
        <w:rPr>
          <w:rFonts w:ascii="Verdana" w:hAnsi="Verdana" w:cs="Arial"/>
          <w:i/>
          <w:color w:val="A5A5A5" w:themeColor="accent3"/>
          <w:sz w:val="20"/>
        </w:rPr>
        <w:t>)</w:t>
      </w:r>
    </w:p>
    <w:p w14:paraId="0A72A10E" w14:textId="77777777" w:rsidR="004741D2" w:rsidRDefault="004741D2" w:rsidP="004741D2">
      <w:pPr>
        <w:jc w:val="both"/>
        <w:rPr>
          <w:rFonts w:ascii="Verdana" w:hAnsi="Verdana" w:cs="Arial"/>
          <w:i/>
          <w:sz w:val="20"/>
        </w:rPr>
      </w:pPr>
    </w:p>
    <w:p w14:paraId="1106AD32" w14:textId="031B7F9E" w:rsidR="00660310" w:rsidRPr="00927EEE" w:rsidRDefault="002F496A" w:rsidP="00660310">
      <w:pPr>
        <w:pStyle w:val="Paragraphedeliste"/>
        <w:numPr>
          <w:ilvl w:val="1"/>
          <w:numId w:val="2"/>
        </w:numPr>
        <w:jc w:val="both"/>
        <w:rPr>
          <w:rFonts w:ascii="Verdana" w:hAnsi="Verdana" w:cs="Arial"/>
          <w:sz w:val="20"/>
        </w:rPr>
      </w:pPr>
      <w:r>
        <w:rPr>
          <w:rFonts w:ascii="Verdana" w:hAnsi="Verdana" w:cs="Arial"/>
          <w:sz w:val="20"/>
        </w:rPr>
        <w:t xml:space="preserve">Décrire la procédure de vérification fonctionnelle en cas d’intégration ou de remplacement de matériel dans la chaine de mesure </w:t>
      </w:r>
    </w:p>
    <w:p w14:paraId="4726EF24" w14:textId="77777777" w:rsidR="00660310" w:rsidRPr="00927EEE" w:rsidRDefault="00660310" w:rsidP="004741D2">
      <w:pPr>
        <w:jc w:val="both"/>
        <w:rPr>
          <w:rFonts w:ascii="Verdana" w:hAnsi="Verdana" w:cs="Arial"/>
          <w:i/>
          <w:sz w:val="20"/>
        </w:rPr>
      </w:pPr>
    </w:p>
    <w:p w14:paraId="3D08FAD0" w14:textId="77777777" w:rsidR="008F0681" w:rsidRDefault="008F0681" w:rsidP="008F0681">
      <w:pPr>
        <w:pStyle w:val="Paragraphedeliste"/>
        <w:jc w:val="both"/>
        <w:rPr>
          <w:rFonts w:ascii="Verdana" w:hAnsi="Verdana" w:cs="Arial"/>
          <w:i/>
          <w:sz w:val="20"/>
        </w:rPr>
      </w:pPr>
    </w:p>
    <w:p w14:paraId="57C84062" w14:textId="77777777" w:rsidR="004B2453" w:rsidRDefault="004B2453">
      <w:pPr>
        <w:rPr>
          <w:rFonts w:ascii="Verdana" w:hAnsi="Verdana" w:cs="Arial"/>
          <w:b/>
          <w:sz w:val="20"/>
        </w:rPr>
      </w:pPr>
      <w:r>
        <w:rPr>
          <w:rFonts w:ascii="Verdana" w:hAnsi="Verdana" w:cs="Arial"/>
          <w:b/>
          <w:sz w:val="20"/>
        </w:rPr>
        <w:br w:type="page"/>
      </w:r>
    </w:p>
    <w:p w14:paraId="742497D1" w14:textId="0722A95E" w:rsidR="002B7E91" w:rsidRPr="00927EEE" w:rsidRDefault="00FA4AD4" w:rsidP="002B7E91">
      <w:pPr>
        <w:pStyle w:val="Paragraphedeliste"/>
        <w:numPr>
          <w:ilvl w:val="0"/>
          <w:numId w:val="2"/>
        </w:numPr>
        <w:jc w:val="both"/>
        <w:rPr>
          <w:rFonts w:ascii="Verdana" w:hAnsi="Verdana" w:cs="Arial"/>
          <w:b/>
          <w:sz w:val="20"/>
        </w:rPr>
      </w:pPr>
      <w:r>
        <w:rPr>
          <w:rFonts w:ascii="Verdana" w:hAnsi="Verdana" w:cs="Arial"/>
          <w:b/>
          <w:sz w:val="20"/>
        </w:rPr>
        <w:lastRenderedPageBreak/>
        <w:t>Organisation du site de soutirage pour maintenir dans la durée les exigences requises dans le cadre de la qualification</w:t>
      </w:r>
    </w:p>
    <w:p w14:paraId="254089C1" w14:textId="3E278363" w:rsidR="00FA4AD4" w:rsidRPr="008C6677" w:rsidRDefault="00FA4AD4" w:rsidP="00FA4AD4">
      <w:pPr>
        <w:jc w:val="both"/>
        <w:rPr>
          <w:rFonts w:ascii="Verdana" w:hAnsi="Verdana" w:cs="Arial"/>
          <w:i/>
          <w:color w:val="A5A5A5" w:themeColor="accent3"/>
          <w:sz w:val="20"/>
        </w:rPr>
      </w:pPr>
      <w:r w:rsidRPr="008C6677">
        <w:rPr>
          <w:rFonts w:ascii="Verdana" w:hAnsi="Verdana" w:cs="Arial"/>
          <w:i/>
          <w:color w:val="A5A5A5" w:themeColor="accent3"/>
          <w:sz w:val="20"/>
        </w:rPr>
        <w:t>Cette section doit décrire l’organisation mise en place au sein du site de soutirage afin d’assurer la qualité et le maintien des exigences relatives à la qualification pour toute la durée de l’expérimentation.</w:t>
      </w:r>
    </w:p>
    <w:p w14:paraId="07A41E35" w14:textId="365621EA" w:rsidR="00FA4AD4" w:rsidRPr="008C6677" w:rsidRDefault="00FA4AD4" w:rsidP="00FA4AD4">
      <w:pPr>
        <w:pStyle w:val="Paragraphedeliste"/>
        <w:numPr>
          <w:ilvl w:val="0"/>
          <w:numId w:val="3"/>
        </w:numPr>
        <w:jc w:val="both"/>
        <w:rPr>
          <w:rFonts w:ascii="Verdana" w:hAnsi="Verdana" w:cs="Arial"/>
          <w:i/>
          <w:color w:val="A5A5A5" w:themeColor="accent3"/>
          <w:sz w:val="20"/>
        </w:rPr>
      </w:pPr>
      <w:r w:rsidRPr="008C6677">
        <w:rPr>
          <w:rFonts w:ascii="Verdana" w:hAnsi="Verdana" w:cs="Arial"/>
          <w:i/>
          <w:color w:val="A5A5A5" w:themeColor="accent3"/>
          <w:sz w:val="20"/>
        </w:rPr>
        <w:t>Prévenance de l’Opérateur d’Effacement en cas de changement significatif au sein du site ou du périmètre de sous-mesure (conduisant à des évolutions de la consommation ou du profil de consommation)</w:t>
      </w:r>
    </w:p>
    <w:p w14:paraId="14DB2639" w14:textId="16C74B21" w:rsidR="00FA4AD4" w:rsidRPr="008C6677" w:rsidRDefault="00FA4AD4" w:rsidP="00FA4AD4">
      <w:pPr>
        <w:pStyle w:val="Paragraphedeliste"/>
        <w:numPr>
          <w:ilvl w:val="0"/>
          <w:numId w:val="3"/>
        </w:numPr>
        <w:jc w:val="both"/>
        <w:rPr>
          <w:rFonts w:ascii="Verdana" w:hAnsi="Verdana" w:cs="Arial"/>
          <w:i/>
          <w:color w:val="A5A5A5" w:themeColor="accent3"/>
          <w:sz w:val="20"/>
        </w:rPr>
      </w:pPr>
      <w:r w:rsidRPr="008C6677">
        <w:rPr>
          <w:rFonts w:ascii="Verdana" w:hAnsi="Verdana" w:cs="Arial"/>
          <w:i/>
          <w:color w:val="A5A5A5" w:themeColor="accent3"/>
          <w:sz w:val="20"/>
        </w:rPr>
        <w:t>Remplacement ou intervention sur la chaine d’acquisition des données de sous-mesure</w:t>
      </w:r>
    </w:p>
    <w:p w14:paraId="7699E968" w14:textId="7BEA19EB" w:rsidR="00FA4AD4" w:rsidRPr="008C6677" w:rsidRDefault="00FA4AD4" w:rsidP="00FA4AD4">
      <w:pPr>
        <w:pStyle w:val="Paragraphedeliste"/>
        <w:numPr>
          <w:ilvl w:val="0"/>
          <w:numId w:val="3"/>
        </w:numPr>
        <w:jc w:val="both"/>
        <w:rPr>
          <w:rFonts w:ascii="Verdana" w:hAnsi="Verdana" w:cs="Arial"/>
          <w:i/>
          <w:color w:val="A5A5A5" w:themeColor="accent3"/>
          <w:sz w:val="20"/>
        </w:rPr>
      </w:pPr>
      <w:r w:rsidRPr="008C6677">
        <w:rPr>
          <w:rFonts w:ascii="Verdana" w:hAnsi="Verdana" w:cs="Arial"/>
          <w:i/>
          <w:color w:val="A5A5A5" w:themeColor="accent3"/>
          <w:sz w:val="20"/>
        </w:rPr>
        <w:t>Conservation des données et preuves des exigences relatives à la qualification pour toute la durée de l’expérimentation.</w:t>
      </w:r>
    </w:p>
    <w:p w14:paraId="3C9A5901" w14:textId="77777777" w:rsidR="00A06248" w:rsidRDefault="00A06248" w:rsidP="008F0681">
      <w:pPr>
        <w:pStyle w:val="Paragraphedeliste"/>
        <w:jc w:val="both"/>
        <w:rPr>
          <w:rFonts w:ascii="Verdana" w:hAnsi="Verdana" w:cs="Arial"/>
          <w:i/>
          <w:sz w:val="20"/>
        </w:rPr>
      </w:pPr>
    </w:p>
    <w:p w14:paraId="5EF14228" w14:textId="77777777" w:rsidR="00FA4AD4" w:rsidRPr="00927EEE" w:rsidRDefault="00FA4AD4" w:rsidP="008F0681">
      <w:pPr>
        <w:pStyle w:val="Paragraphedeliste"/>
        <w:jc w:val="both"/>
        <w:rPr>
          <w:rFonts w:ascii="Verdana" w:hAnsi="Verdana" w:cs="Arial"/>
          <w:i/>
          <w:sz w:val="20"/>
        </w:rPr>
      </w:pPr>
    </w:p>
    <w:p w14:paraId="32A8C0AC" w14:textId="77777777" w:rsidR="00596D32" w:rsidRPr="00927EEE" w:rsidRDefault="004741D2" w:rsidP="00596D32">
      <w:pPr>
        <w:pStyle w:val="Paragraphedeliste"/>
        <w:numPr>
          <w:ilvl w:val="0"/>
          <w:numId w:val="2"/>
        </w:numPr>
        <w:jc w:val="both"/>
        <w:rPr>
          <w:rFonts w:ascii="Verdana" w:hAnsi="Verdana" w:cs="Arial"/>
          <w:b/>
          <w:sz w:val="20"/>
        </w:rPr>
      </w:pPr>
      <w:r w:rsidRPr="00927EEE">
        <w:rPr>
          <w:rFonts w:ascii="Verdana" w:hAnsi="Verdana" w:cs="Arial"/>
          <w:b/>
          <w:sz w:val="20"/>
        </w:rPr>
        <w:t xml:space="preserve">Données techniques complémentaires </w:t>
      </w:r>
    </w:p>
    <w:p w14:paraId="0EF46353" w14:textId="77777777" w:rsidR="00596D32" w:rsidRPr="00927EEE" w:rsidRDefault="00596D32" w:rsidP="00596D32">
      <w:pPr>
        <w:jc w:val="both"/>
        <w:rPr>
          <w:rFonts w:ascii="Verdana" w:hAnsi="Verdana" w:cs="Arial"/>
          <w:b/>
          <w:sz w:val="20"/>
        </w:rPr>
      </w:pPr>
    </w:p>
    <w:p w14:paraId="50931CA7" w14:textId="77777777" w:rsidR="004741D2" w:rsidRPr="00927EEE" w:rsidRDefault="00596D32" w:rsidP="004741D2">
      <w:pPr>
        <w:pStyle w:val="Paragraphedeliste"/>
        <w:numPr>
          <w:ilvl w:val="1"/>
          <w:numId w:val="2"/>
        </w:numPr>
        <w:jc w:val="both"/>
        <w:rPr>
          <w:rFonts w:ascii="Verdana" w:hAnsi="Verdana" w:cs="Arial"/>
          <w:sz w:val="20"/>
        </w:rPr>
      </w:pPr>
      <w:r w:rsidRPr="00927EEE">
        <w:rPr>
          <w:rFonts w:ascii="Verdana" w:hAnsi="Verdana" w:cs="Arial"/>
          <w:sz w:val="20"/>
        </w:rPr>
        <w:t xml:space="preserve">Quelle documentation technique complémentaire </w:t>
      </w:r>
      <w:r w:rsidR="004741D2" w:rsidRPr="00927EEE">
        <w:rPr>
          <w:rFonts w:ascii="Verdana" w:hAnsi="Verdana" w:cs="Arial"/>
          <w:sz w:val="20"/>
        </w:rPr>
        <w:t>êtes-vous en mesure de communiquer</w:t>
      </w:r>
      <w:r w:rsidRPr="00927EEE">
        <w:rPr>
          <w:rFonts w:ascii="Verdana" w:hAnsi="Verdana" w:cs="Arial"/>
          <w:sz w:val="20"/>
        </w:rPr>
        <w:t> ?</w:t>
      </w:r>
    </w:p>
    <w:p w14:paraId="58897D55" w14:textId="6AD8EF86" w:rsidR="00596D32" w:rsidRPr="008C6677" w:rsidRDefault="00596D32" w:rsidP="00596D32">
      <w:pPr>
        <w:pStyle w:val="Paragraphedeliste"/>
        <w:numPr>
          <w:ilvl w:val="0"/>
          <w:numId w:val="3"/>
        </w:numPr>
        <w:jc w:val="both"/>
        <w:rPr>
          <w:rFonts w:ascii="Verdana" w:hAnsi="Verdana" w:cs="Arial"/>
          <w:color w:val="A5A5A5" w:themeColor="accent3"/>
          <w:sz w:val="20"/>
        </w:rPr>
      </w:pPr>
      <w:r w:rsidRPr="008C6677">
        <w:rPr>
          <w:rFonts w:ascii="Verdana" w:hAnsi="Verdana" w:cs="Arial"/>
          <w:i/>
          <w:color w:val="A5A5A5" w:themeColor="accent3"/>
          <w:sz w:val="20"/>
        </w:rPr>
        <w:t>Si un dispositif de sous-</w:t>
      </w:r>
      <w:r w:rsidR="004B2453">
        <w:rPr>
          <w:rFonts w:ascii="Verdana" w:hAnsi="Verdana" w:cs="Arial"/>
          <w:i/>
          <w:color w:val="A5A5A5" w:themeColor="accent3"/>
          <w:sz w:val="20"/>
        </w:rPr>
        <w:t>mesure</w:t>
      </w:r>
      <w:r w:rsidRPr="008C6677">
        <w:rPr>
          <w:rFonts w:ascii="Verdana" w:hAnsi="Verdana" w:cs="Arial"/>
          <w:i/>
          <w:color w:val="A5A5A5" w:themeColor="accent3"/>
          <w:sz w:val="20"/>
        </w:rPr>
        <w:t xml:space="preserve"> est déjà installé, courbes de charges de la consommation relevée</w:t>
      </w:r>
    </w:p>
    <w:p w14:paraId="53E17803" w14:textId="4F51AE30" w:rsidR="00B407F9" w:rsidRPr="008C6677" w:rsidRDefault="00596D32" w:rsidP="003D0A10">
      <w:pPr>
        <w:pStyle w:val="Paragraphedeliste"/>
        <w:numPr>
          <w:ilvl w:val="0"/>
          <w:numId w:val="3"/>
        </w:numPr>
        <w:jc w:val="both"/>
        <w:rPr>
          <w:rFonts w:ascii="Verdana" w:hAnsi="Verdana" w:cs="Arial"/>
          <w:i/>
          <w:color w:val="A5A5A5" w:themeColor="accent3"/>
          <w:sz w:val="20"/>
        </w:rPr>
      </w:pPr>
      <w:r w:rsidRPr="008C6677">
        <w:rPr>
          <w:rFonts w:ascii="Verdana" w:hAnsi="Verdana" w:cs="Arial"/>
          <w:i/>
          <w:color w:val="A5A5A5" w:themeColor="accent3"/>
          <w:sz w:val="20"/>
        </w:rPr>
        <w:t xml:space="preserve">Autres données techniques </w:t>
      </w:r>
    </w:p>
    <w:sectPr w:rsidR="00B407F9" w:rsidRPr="008C66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06003" w14:textId="77777777" w:rsidR="00D211F0" w:rsidRDefault="00D211F0" w:rsidP="00585D4E">
      <w:pPr>
        <w:spacing w:after="0" w:line="240" w:lineRule="auto"/>
      </w:pPr>
      <w:r>
        <w:separator/>
      </w:r>
    </w:p>
  </w:endnote>
  <w:endnote w:type="continuationSeparator" w:id="0">
    <w:p w14:paraId="65BFC3B7" w14:textId="77777777" w:rsidR="00D211F0" w:rsidRDefault="00D211F0" w:rsidP="005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CA435" w14:textId="77777777" w:rsidR="00D211F0" w:rsidRDefault="00D211F0" w:rsidP="00585D4E">
      <w:pPr>
        <w:spacing w:after="0" w:line="240" w:lineRule="auto"/>
      </w:pPr>
      <w:r>
        <w:separator/>
      </w:r>
    </w:p>
  </w:footnote>
  <w:footnote w:type="continuationSeparator" w:id="0">
    <w:p w14:paraId="32327D7C" w14:textId="77777777" w:rsidR="00D211F0" w:rsidRDefault="00D211F0" w:rsidP="00585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04658"/>
    <w:multiLevelType w:val="hybridMultilevel"/>
    <w:tmpl w:val="E3525EB2"/>
    <w:lvl w:ilvl="0" w:tplc="040C0001">
      <w:start w:val="1"/>
      <w:numFmt w:val="bullet"/>
      <w:lvlText w:val=""/>
      <w:lvlJc w:val="left"/>
      <w:pPr>
        <w:ind w:left="720" w:hanging="360"/>
      </w:pPr>
      <w:rPr>
        <w:rFonts w:ascii="Symbol" w:hAnsi="Symbol" w:hint="default"/>
      </w:rPr>
    </w:lvl>
    <w:lvl w:ilvl="1" w:tplc="9F44888E">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CD51888"/>
    <w:multiLevelType w:val="hybridMultilevel"/>
    <w:tmpl w:val="BAB67EB2"/>
    <w:lvl w:ilvl="0" w:tplc="F8102DF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697FC8"/>
    <w:multiLevelType w:val="hybridMultilevel"/>
    <w:tmpl w:val="710C36B0"/>
    <w:lvl w:ilvl="0" w:tplc="F8102D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8E69FD"/>
    <w:multiLevelType w:val="hybridMultilevel"/>
    <w:tmpl w:val="BACE1FA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BC18D4"/>
    <w:multiLevelType w:val="hybridMultilevel"/>
    <w:tmpl w:val="834A17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3D04CA"/>
    <w:multiLevelType w:val="hybridMultilevel"/>
    <w:tmpl w:val="CD56DFFC"/>
    <w:lvl w:ilvl="0" w:tplc="A8F2C98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0E69DA"/>
    <w:multiLevelType w:val="hybridMultilevel"/>
    <w:tmpl w:val="58B8E3B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BD738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6E4012"/>
    <w:multiLevelType w:val="hybridMultilevel"/>
    <w:tmpl w:val="53AE9772"/>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287AD4"/>
    <w:multiLevelType w:val="hybridMultilevel"/>
    <w:tmpl w:val="B1EE853C"/>
    <w:lvl w:ilvl="0" w:tplc="F8102D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1633B8"/>
    <w:multiLevelType w:val="hybridMultilevel"/>
    <w:tmpl w:val="E5AA5E56"/>
    <w:lvl w:ilvl="0" w:tplc="B6324ED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0"/>
  </w:num>
  <w:num w:numId="6">
    <w:abstractNumId w:val="8"/>
  </w:num>
  <w:num w:numId="7">
    <w:abstractNumId w:val="5"/>
  </w:num>
  <w:num w:numId="8">
    <w:abstractNumId w:val="6"/>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9B"/>
    <w:rsid w:val="00033767"/>
    <w:rsid w:val="000600A3"/>
    <w:rsid w:val="00093DDC"/>
    <w:rsid w:val="000F07CD"/>
    <w:rsid w:val="001265BD"/>
    <w:rsid w:val="001308A1"/>
    <w:rsid w:val="001429E4"/>
    <w:rsid w:val="00152E8F"/>
    <w:rsid w:val="00163D11"/>
    <w:rsid w:val="00164C96"/>
    <w:rsid w:val="00172E99"/>
    <w:rsid w:val="00190322"/>
    <w:rsid w:val="001F7685"/>
    <w:rsid w:val="0023374C"/>
    <w:rsid w:val="00273B64"/>
    <w:rsid w:val="002B7E91"/>
    <w:rsid w:val="002F496A"/>
    <w:rsid w:val="002F5445"/>
    <w:rsid w:val="00397CEA"/>
    <w:rsid w:val="003A2040"/>
    <w:rsid w:val="003A2315"/>
    <w:rsid w:val="003C1D78"/>
    <w:rsid w:val="003D0A10"/>
    <w:rsid w:val="003D65FF"/>
    <w:rsid w:val="003F56D6"/>
    <w:rsid w:val="004028BB"/>
    <w:rsid w:val="0041521E"/>
    <w:rsid w:val="00420013"/>
    <w:rsid w:val="0042291D"/>
    <w:rsid w:val="00445891"/>
    <w:rsid w:val="00472F80"/>
    <w:rsid w:val="004741D2"/>
    <w:rsid w:val="004A010C"/>
    <w:rsid w:val="004A2EA8"/>
    <w:rsid w:val="004A759B"/>
    <w:rsid w:val="004B2453"/>
    <w:rsid w:val="00535FA5"/>
    <w:rsid w:val="0054202D"/>
    <w:rsid w:val="0057446B"/>
    <w:rsid w:val="00585D4E"/>
    <w:rsid w:val="00591383"/>
    <w:rsid w:val="00596D32"/>
    <w:rsid w:val="005C6E3C"/>
    <w:rsid w:val="005D62B6"/>
    <w:rsid w:val="005E0EBF"/>
    <w:rsid w:val="00612D27"/>
    <w:rsid w:val="00631449"/>
    <w:rsid w:val="0065132C"/>
    <w:rsid w:val="00660310"/>
    <w:rsid w:val="00783F12"/>
    <w:rsid w:val="008040EB"/>
    <w:rsid w:val="008116AD"/>
    <w:rsid w:val="00847910"/>
    <w:rsid w:val="008753F0"/>
    <w:rsid w:val="00881524"/>
    <w:rsid w:val="008859C1"/>
    <w:rsid w:val="008B5513"/>
    <w:rsid w:val="008C6677"/>
    <w:rsid w:val="008D5B45"/>
    <w:rsid w:val="008F0681"/>
    <w:rsid w:val="00907824"/>
    <w:rsid w:val="009157AE"/>
    <w:rsid w:val="0091597D"/>
    <w:rsid w:val="00927EEE"/>
    <w:rsid w:val="0093296F"/>
    <w:rsid w:val="009464BE"/>
    <w:rsid w:val="00986F79"/>
    <w:rsid w:val="0099527C"/>
    <w:rsid w:val="009A62BE"/>
    <w:rsid w:val="009C77D7"/>
    <w:rsid w:val="00A06248"/>
    <w:rsid w:val="00A967DD"/>
    <w:rsid w:val="00AA752F"/>
    <w:rsid w:val="00AD2FDC"/>
    <w:rsid w:val="00AE0B36"/>
    <w:rsid w:val="00AE2F0B"/>
    <w:rsid w:val="00B407F9"/>
    <w:rsid w:val="00B65260"/>
    <w:rsid w:val="00C27F61"/>
    <w:rsid w:val="00C4463B"/>
    <w:rsid w:val="00CA1126"/>
    <w:rsid w:val="00CC76B0"/>
    <w:rsid w:val="00CD25E5"/>
    <w:rsid w:val="00CE4E29"/>
    <w:rsid w:val="00CF1FD4"/>
    <w:rsid w:val="00CF67C5"/>
    <w:rsid w:val="00D211F0"/>
    <w:rsid w:val="00D55CD2"/>
    <w:rsid w:val="00D57FD2"/>
    <w:rsid w:val="00D717BB"/>
    <w:rsid w:val="00DA5499"/>
    <w:rsid w:val="00E061C3"/>
    <w:rsid w:val="00E764E1"/>
    <w:rsid w:val="00EC3890"/>
    <w:rsid w:val="00F04DB2"/>
    <w:rsid w:val="00FA4AD4"/>
    <w:rsid w:val="00FC34BF"/>
    <w:rsid w:val="00FC45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5A0F"/>
  <w15:chartTrackingRefBased/>
  <w15:docId w15:val="{4146ED12-83A3-4857-8720-160AC2E0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157AE"/>
    <w:pPr>
      <w:ind w:left="720"/>
      <w:contextualSpacing/>
    </w:pPr>
  </w:style>
  <w:style w:type="character" w:styleId="Marquedecommentaire">
    <w:name w:val="annotation reference"/>
    <w:basedOn w:val="Policepardfaut"/>
    <w:uiPriority w:val="99"/>
    <w:semiHidden/>
    <w:unhideWhenUsed/>
    <w:rsid w:val="004A010C"/>
    <w:rPr>
      <w:sz w:val="16"/>
      <w:szCs w:val="16"/>
    </w:rPr>
  </w:style>
  <w:style w:type="paragraph" w:styleId="Commentaire">
    <w:name w:val="annotation text"/>
    <w:basedOn w:val="Normal"/>
    <w:link w:val="CommentaireCar"/>
    <w:uiPriority w:val="99"/>
    <w:semiHidden/>
    <w:unhideWhenUsed/>
    <w:rsid w:val="004A010C"/>
    <w:pPr>
      <w:spacing w:line="240" w:lineRule="auto"/>
    </w:pPr>
    <w:rPr>
      <w:sz w:val="20"/>
      <w:szCs w:val="20"/>
    </w:rPr>
  </w:style>
  <w:style w:type="character" w:customStyle="1" w:styleId="CommentaireCar">
    <w:name w:val="Commentaire Car"/>
    <w:basedOn w:val="Policepardfaut"/>
    <w:link w:val="Commentaire"/>
    <w:uiPriority w:val="99"/>
    <w:semiHidden/>
    <w:rsid w:val="004A010C"/>
    <w:rPr>
      <w:sz w:val="20"/>
      <w:szCs w:val="20"/>
    </w:rPr>
  </w:style>
  <w:style w:type="paragraph" w:styleId="Objetducommentaire">
    <w:name w:val="annotation subject"/>
    <w:basedOn w:val="Commentaire"/>
    <w:next w:val="Commentaire"/>
    <w:link w:val="ObjetducommentaireCar"/>
    <w:uiPriority w:val="99"/>
    <w:semiHidden/>
    <w:unhideWhenUsed/>
    <w:rsid w:val="004A010C"/>
    <w:rPr>
      <w:b/>
      <w:bCs/>
    </w:rPr>
  </w:style>
  <w:style w:type="character" w:customStyle="1" w:styleId="ObjetducommentaireCar">
    <w:name w:val="Objet du commentaire Car"/>
    <w:basedOn w:val="CommentaireCar"/>
    <w:link w:val="Objetducommentaire"/>
    <w:uiPriority w:val="99"/>
    <w:semiHidden/>
    <w:rsid w:val="004A010C"/>
    <w:rPr>
      <w:b/>
      <w:bCs/>
      <w:sz w:val="20"/>
      <w:szCs w:val="20"/>
    </w:rPr>
  </w:style>
  <w:style w:type="paragraph" w:styleId="Textedebulles">
    <w:name w:val="Balloon Text"/>
    <w:basedOn w:val="Normal"/>
    <w:link w:val="TextedebullesCar"/>
    <w:uiPriority w:val="99"/>
    <w:semiHidden/>
    <w:unhideWhenUsed/>
    <w:rsid w:val="004A01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010C"/>
    <w:rPr>
      <w:rFonts w:ascii="Segoe UI" w:hAnsi="Segoe UI" w:cs="Segoe UI"/>
      <w:sz w:val="18"/>
      <w:szCs w:val="18"/>
    </w:rPr>
  </w:style>
  <w:style w:type="paragraph" w:styleId="Notedebasdepage">
    <w:name w:val="footnote text"/>
    <w:basedOn w:val="Normal"/>
    <w:link w:val="NotedebasdepageCar"/>
    <w:uiPriority w:val="99"/>
    <w:semiHidden/>
    <w:unhideWhenUsed/>
    <w:rsid w:val="00585D4E"/>
    <w:pPr>
      <w:spacing w:after="0" w:line="240" w:lineRule="auto"/>
      <w:ind w:left="284"/>
      <w:jc w:val="both"/>
    </w:pPr>
    <w:rPr>
      <w:rFonts w:ascii="Calibri" w:eastAsia="Times New Roman" w:hAnsi="Calibri" w:cs="Times New Roman"/>
      <w:szCs w:val="20"/>
      <w:lang w:eastAsia="fr-FR"/>
    </w:rPr>
  </w:style>
  <w:style w:type="character" w:customStyle="1" w:styleId="NotedebasdepageCar">
    <w:name w:val="Note de bas de page Car"/>
    <w:basedOn w:val="Policepardfaut"/>
    <w:link w:val="Notedebasdepage"/>
    <w:uiPriority w:val="99"/>
    <w:semiHidden/>
    <w:rsid w:val="00585D4E"/>
    <w:rPr>
      <w:rFonts w:ascii="Calibri" w:eastAsia="Times New Roman" w:hAnsi="Calibri" w:cs="Times New Roman"/>
      <w:szCs w:val="20"/>
      <w:lang w:eastAsia="fr-FR"/>
    </w:rPr>
  </w:style>
  <w:style w:type="character" w:customStyle="1" w:styleId="ParagraphedelisteCar">
    <w:name w:val="Paragraphe de liste Car"/>
    <w:basedOn w:val="Policepardfaut"/>
    <w:link w:val="Paragraphedeliste"/>
    <w:uiPriority w:val="34"/>
    <w:locked/>
    <w:rsid w:val="00585D4E"/>
  </w:style>
  <w:style w:type="paragraph" w:customStyle="1" w:styleId="SPuce">
    <w:name w:val="S_Puce"/>
    <w:qFormat/>
    <w:rsid w:val="00585D4E"/>
    <w:pPr>
      <w:spacing w:before="40" w:after="0" w:line="240" w:lineRule="auto"/>
      <w:ind w:left="720" w:hanging="360"/>
      <w:jc w:val="both"/>
    </w:pPr>
    <w:rPr>
      <w:rFonts w:eastAsia="Times New Roman" w:cs="Times New Roman"/>
      <w:color w:val="000000" w:themeColor="text1"/>
      <w:sz w:val="20"/>
      <w:szCs w:val="20"/>
      <w:lang w:eastAsia="fr-FR"/>
    </w:rPr>
  </w:style>
  <w:style w:type="character" w:styleId="Appelnotedebasdep">
    <w:name w:val="footnote reference"/>
    <w:basedOn w:val="Policepardfaut"/>
    <w:uiPriority w:val="99"/>
    <w:semiHidden/>
    <w:unhideWhenUsed/>
    <w:rsid w:val="00585D4E"/>
    <w:rPr>
      <w:vertAlign w:val="superscript"/>
    </w:rPr>
  </w:style>
  <w:style w:type="paragraph" w:customStyle="1" w:styleId="Paragraphe">
    <w:name w:val="Paragraphe"/>
    <w:basedOn w:val="Normal"/>
    <w:link w:val="ParagrapheCar"/>
    <w:qFormat/>
    <w:rsid w:val="00585D4E"/>
    <w:pPr>
      <w:autoSpaceDE w:val="0"/>
      <w:autoSpaceDN w:val="0"/>
      <w:spacing w:before="120" w:after="60" w:line="276" w:lineRule="auto"/>
      <w:jc w:val="both"/>
    </w:pPr>
    <w:rPr>
      <w:rFonts w:ascii="Verdana" w:eastAsia="Times New Roman" w:hAnsi="Verdana" w:cstheme="minorHAnsi"/>
      <w:sz w:val="18"/>
      <w:szCs w:val="24"/>
      <w:lang w:eastAsia="fr-FR"/>
    </w:rPr>
  </w:style>
  <w:style w:type="character" w:customStyle="1" w:styleId="ParagrapheCar">
    <w:name w:val="Paragraphe Car"/>
    <w:basedOn w:val="Policepardfaut"/>
    <w:link w:val="Paragraphe"/>
    <w:rsid w:val="00585D4E"/>
    <w:rPr>
      <w:rFonts w:ascii="Verdana" w:eastAsia="Times New Roman" w:hAnsi="Verdana" w:cstheme="minorHAnsi"/>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22B54B54E50E4998EC8062361B23E5" ma:contentTypeVersion="6" ma:contentTypeDescription="Crée un document." ma:contentTypeScope="" ma:versionID="4d89e9c8acfc36bb5a8b54116f0c348e">
  <xsd:schema xmlns:xsd="http://www.w3.org/2001/XMLSchema" xmlns:xs="http://www.w3.org/2001/XMLSchema" xmlns:p="http://schemas.microsoft.com/office/2006/metadata/properties" xmlns:ns1="http://schemas.microsoft.com/sharepoint/v3" targetNamespace="http://schemas.microsoft.com/office/2006/metadata/properties" ma:root="true" ma:fieldsID="84150117ef082ad668ca6d1bc8042b45"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Évaluation (0-5)" ma:decimals="2" ma:description="Valeur moyenne de toutes les évaluations envoyées" ma:internalName="AverageRating" ma:readOnly="true">
      <xsd:simpleType>
        <xsd:restriction base="dms:Number"/>
      </xsd:simpleType>
    </xsd:element>
    <xsd:element name="RatingCount" ma:index="9" nillable="true" ma:displayName="Nombre d’évaluations" ma:decimals="0" ma:description="Nombre d’évaluations envoyées" ma:internalName="RatingCount" ma:readOnly="true">
      <xsd:simpleType>
        <xsd:restriction base="dms:Number"/>
      </xsd:simpleType>
    </xsd:element>
    <xsd:element name="RatedBy" ma:index="10"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Évaluation des utilisateurs" ma:description="Évaluation des utilisateurs pour l'élément" ma:hidden="true" ma:internalName="Ratings">
      <xsd:simpleType>
        <xsd:restriction base="dms:Note"/>
      </xsd:simpleType>
    </xsd:element>
    <xsd:element name="LikesCount" ma:index="12" nillable="true" ma:displayName="Nombre de « J'aime »" ma:internalName="LikesCount">
      <xsd:simpleType>
        <xsd:restriction base="dms:Unknown"/>
      </xsd:simpleType>
    </xsd:element>
    <xsd:element name="LikedBy" ma:index="13" nillable="true" ma:displayName="Aim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FC0B-76D6-40F4-865C-39824D3002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F9D316-4F2A-4413-B2CD-27AD1687D65C}">
  <ds:schemaRefs>
    <ds:schemaRef ds:uri="http://schemas.microsoft.com/sharepoint/v3/contenttype/forms"/>
  </ds:schemaRefs>
</ds:datastoreItem>
</file>

<file path=customXml/itemProps3.xml><?xml version="1.0" encoding="utf-8"?>
<ds:datastoreItem xmlns:ds="http://schemas.openxmlformats.org/officeDocument/2006/customXml" ds:itemID="{3DA82337-21E0-42E6-9455-EE5490F7D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86328-1FD7-48E9-9C4B-443BE127D101}">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35862</vt:lpwstr>
  </property>
  <property fmtid="{D5CDD505-2E9C-101B-9397-08002B2CF9AE}" pid="4" name="OptimizationTime">
    <vt:lpwstr>20201106_1213</vt:lpwstr>
  </property>
</Properties>
</file>

<file path=docProps/app.xml><?xml version="1.0" encoding="utf-8"?>
<Properties xmlns="http://schemas.openxmlformats.org/officeDocument/2006/extended-properties" xmlns:vt="http://schemas.openxmlformats.org/officeDocument/2006/docPropsVTypes">
  <Template>Normal</Template>
  <TotalTime>2</TotalTime>
  <Pages>5</Pages>
  <Words>1384</Words>
  <Characters>7614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DEIF Hazem Ext</dc:creator>
  <cp:keywords/>
  <dc:description/>
  <cp:lastModifiedBy>MAYEUX Anne</cp:lastModifiedBy>
  <cp:revision>2</cp:revision>
  <dcterms:created xsi:type="dcterms:W3CDTF">2020-11-06T11:04:00Z</dcterms:created>
  <dcterms:modified xsi:type="dcterms:W3CDTF">2020-11-06T11:04:00Z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0x0101006822B54B54E50E4998EC8062361B23E5</vt:lpwstr>
  </property>
</Properties>
</file>